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56A5" w14:textId="25162E08" w:rsidR="00D246A5" w:rsidRDefault="00D55B27" w:rsidP="00836FD3">
      <w:pPr>
        <w:spacing w:after="0" w:line="240" w:lineRule="auto"/>
        <w:rPr>
          <w:rFonts w:ascii="Arial" w:eastAsia="Times New Roman" w:hAnsi="Arial" w:cs="Arial"/>
          <w:b/>
          <w:bCs/>
          <w:color w:val="002855"/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 wp14:anchorId="2AC60C63" wp14:editId="55B6A9E9">
            <wp:extent cx="5731510" cy="1910715"/>
            <wp:effectExtent l="0" t="0" r="2540" b="0"/>
            <wp:docPr id="2" name="Pictur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2C313" w14:textId="77777777" w:rsidR="00836FD3" w:rsidRPr="00836FD3" w:rsidRDefault="00836FD3" w:rsidP="00836FD3">
      <w:pPr>
        <w:spacing w:after="0" w:line="240" w:lineRule="auto"/>
        <w:rPr>
          <w:rFonts w:ascii="Arial" w:eastAsia="Times New Roman" w:hAnsi="Arial" w:cs="Arial"/>
          <w:b/>
          <w:bCs/>
          <w:color w:val="002855"/>
          <w:sz w:val="20"/>
          <w:szCs w:val="20"/>
        </w:rPr>
      </w:pPr>
    </w:p>
    <w:p w14:paraId="435F4E62" w14:textId="09F5A2E9" w:rsidR="003643F9" w:rsidRPr="00836FD3" w:rsidRDefault="00D62F5A" w:rsidP="00836FD3">
      <w:pPr>
        <w:spacing w:after="0" w:line="240" w:lineRule="auto"/>
        <w:rPr>
          <w:rFonts w:ascii="Arial" w:eastAsia="Times New Roman" w:hAnsi="Arial" w:cs="Arial"/>
          <w:b/>
          <w:bCs/>
          <w:color w:val="002855"/>
          <w:sz w:val="24"/>
          <w:szCs w:val="24"/>
        </w:rPr>
      </w:pPr>
      <w:r w:rsidRPr="00836FD3">
        <w:rPr>
          <w:rFonts w:ascii="Arial" w:eastAsia="Times New Roman" w:hAnsi="Arial" w:cs="Arial"/>
          <w:b/>
          <w:bCs/>
          <w:color w:val="002855"/>
          <w:sz w:val="24"/>
          <w:szCs w:val="24"/>
        </w:rPr>
        <w:t xml:space="preserve">The impacts of COVID-19 on </w:t>
      </w:r>
      <w:r w:rsidR="00D246A5" w:rsidRPr="00836FD3">
        <w:rPr>
          <w:rFonts w:ascii="Arial" w:eastAsia="Times New Roman" w:hAnsi="Arial" w:cs="Arial"/>
          <w:b/>
          <w:bCs/>
          <w:color w:val="002855"/>
          <w:sz w:val="24"/>
          <w:szCs w:val="24"/>
        </w:rPr>
        <w:t>employer</w:t>
      </w:r>
      <w:r w:rsidR="000E4CEE">
        <w:rPr>
          <w:rFonts w:ascii="Arial" w:eastAsia="Times New Roman" w:hAnsi="Arial" w:cs="Arial"/>
          <w:b/>
          <w:bCs/>
          <w:color w:val="002855"/>
          <w:sz w:val="24"/>
          <w:szCs w:val="24"/>
        </w:rPr>
        <w:t>s of sponsored workers</w:t>
      </w:r>
    </w:p>
    <w:p w14:paraId="7271DD12" w14:textId="77777777" w:rsidR="00836FD3" w:rsidRDefault="00836FD3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45DFE68E" w14:textId="6FB04E97" w:rsidR="00836FD3" w:rsidRDefault="005B1A8B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 w:rsidRPr="00836FD3">
        <w:rPr>
          <w:rFonts w:ascii="Arial" w:eastAsia="Times New Roman" w:hAnsi="Arial" w:cs="Arial"/>
          <w:color w:val="002855"/>
          <w:sz w:val="20"/>
          <w:szCs w:val="20"/>
        </w:rPr>
        <w:t xml:space="preserve">With the effects of COVID-19 causing significant disruptions to Australian businesses, employers are looking at every option from scaling down operations, to stand downs and even </w:t>
      </w:r>
      <w:r w:rsidR="00836FD3" w:rsidRPr="00836FD3">
        <w:rPr>
          <w:rFonts w:ascii="Arial" w:eastAsia="Times New Roman" w:hAnsi="Arial" w:cs="Arial"/>
          <w:color w:val="002855"/>
          <w:sz w:val="20"/>
          <w:szCs w:val="20"/>
        </w:rPr>
        <w:t xml:space="preserve">redundancy.  As an employer of visa holders, you </w:t>
      </w:r>
      <w:r w:rsidR="00836FD3">
        <w:rPr>
          <w:rFonts w:ascii="Arial" w:eastAsia="Times New Roman" w:hAnsi="Arial" w:cs="Arial"/>
          <w:color w:val="002855"/>
          <w:sz w:val="20"/>
          <w:szCs w:val="20"/>
        </w:rPr>
        <w:t>will</w:t>
      </w:r>
      <w:r w:rsidR="00836FD3" w:rsidRPr="00836FD3">
        <w:rPr>
          <w:rFonts w:ascii="Arial" w:eastAsia="Times New Roman" w:hAnsi="Arial" w:cs="Arial"/>
          <w:color w:val="002855"/>
          <w:sz w:val="20"/>
          <w:szCs w:val="20"/>
        </w:rPr>
        <w:t xml:space="preserve"> also need to consider the impacts of COVID-19 on </w:t>
      </w:r>
      <w:r w:rsidR="00836FD3">
        <w:rPr>
          <w:rFonts w:ascii="Arial" w:eastAsia="Times New Roman" w:hAnsi="Arial" w:cs="Arial"/>
          <w:color w:val="002855"/>
          <w:sz w:val="20"/>
          <w:szCs w:val="20"/>
        </w:rPr>
        <w:t>your</w:t>
      </w:r>
      <w:r w:rsidR="00836FD3" w:rsidRPr="00836FD3">
        <w:rPr>
          <w:rFonts w:ascii="Arial" w:eastAsia="Times New Roman" w:hAnsi="Arial" w:cs="Arial"/>
          <w:color w:val="002855"/>
          <w:sz w:val="20"/>
          <w:szCs w:val="20"/>
        </w:rPr>
        <w:t xml:space="preserve"> sponsored workers.</w:t>
      </w:r>
    </w:p>
    <w:p w14:paraId="133195D7" w14:textId="77777777" w:rsidR="00836FD3" w:rsidRPr="00836FD3" w:rsidRDefault="00836FD3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2CA2EE08" w14:textId="339B8831" w:rsidR="008162FB" w:rsidRDefault="00836FD3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 w:rsidRPr="00836FD3">
        <w:rPr>
          <w:rFonts w:ascii="Arial" w:eastAsia="Times New Roman" w:hAnsi="Arial" w:cs="Arial"/>
          <w:color w:val="002855"/>
          <w:sz w:val="20"/>
          <w:szCs w:val="20"/>
        </w:rPr>
        <w:t>T</w:t>
      </w:r>
      <w:r w:rsidR="00D246A5" w:rsidRPr="00836FD3">
        <w:rPr>
          <w:rFonts w:ascii="Arial" w:eastAsia="Times New Roman" w:hAnsi="Arial" w:cs="Arial"/>
          <w:color w:val="002855"/>
          <w:sz w:val="20"/>
          <w:szCs w:val="20"/>
        </w:rPr>
        <w:t xml:space="preserve">hese are unprecedented times, </w:t>
      </w:r>
      <w:r w:rsidRPr="00836FD3">
        <w:rPr>
          <w:rFonts w:ascii="Arial" w:eastAsia="Times New Roman" w:hAnsi="Arial" w:cs="Arial"/>
          <w:color w:val="002855"/>
          <w:sz w:val="20"/>
          <w:szCs w:val="20"/>
        </w:rPr>
        <w:t>and while there may still be many unanswered questions, we want to provide you with the information we have right now.</w:t>
      </w:r>
    </w:p>
    <w:p w14:paraId="70C48BED" w14:textId="77777777" w:rsidR="008162FB" w:rsidRDefault="008162FB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721DADB6" w14:textId="7BAC09E9" w:rsidR="000E4CEE" w:rsidRPr="008162FB" w:rsidRDefault="00836FD3" w:rsidP="008162F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 w:rsidRPr="008162FB">
        <w:rPr>
          <w:rFonts w:ascii="Arial" w:eastAsia="Times New Roman" w:hAnsi="Arial" w:cs="Arial"/>
          <w:b/>
          <w:bCs/>
          <w:color w:val="00A7B5"/>
        </w:rPr>
        <w:t>If you have a visa application in progress</w:t>
      </w:r>
    </w:p>
    <w:p w14:paraId="18ADE692" w14:textId="77777777" w:rsidR="008162FB" w:rsidRDefault="008162FB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36789892" w14:textId="06A590BA" w:rsidR="000E4CEE" w:rsidRDefault="000570A0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>The Department of Home affairs (</w:t>
      </w:r>
      <w:r>
        <w:rPr>
          <w:rFonts w:ascii="Arial" w:eastAsia="Times New Roman" w:hAnsi="Arial" w:cs="Arial"/>
          <w:b/>
          <w:bCs/>
          <w:color w:val="002855"/>
          <w:sz w:val="20"/>
          <w:szCs w:val="20"/>
        </w:rPr>
        <w:t>Department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) is </w:t>
      </w:r>
      <w:r w:rsidR="000E4CEE">
        <w:rPr>
          <w:rFonts w:ascii="Arial" w:eastAsia="Times New Roman" w:hAnsi="Arial" w:cs="Arial"/>
          <w:color w:val="002855"/>
          <w:sz w:val="20"/>
          <w:szCs w:val="20"/>
        </w:rPr>
        <w:t>continuing to process visa applications.</w:t>
      </w:r>
    </w:p>
    <w:p w14:paraId="531E959C" w14:textId="77777777" w:rsidR="000E4CEE" w:rsidRDefault="000E4CEE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5E3CE619" w14:textId="282CA7E6" w:rsidR="000570A0" w:rsidRDefault="000E4CEE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 xml:space="preserve">At this stage, the Department is </w:t>
      </w:r>
      <w:r w:rsidR="000570A0">
        <w:rPr>
          <w:rFonts w:ascii="Arial" w:eastAsia="Times New Roman" w:hAnsi="Arial" w:cs="Arial"/>
          <w:color w:val="002855"/>
          <w:sz w:val="20"/>
          <w:szCs w:val="20"/>
        </w:rPr>
        <w:t>prioritising its resources to assist onshore visa holders whose visa may be expiring.  This may result in delayed processing times where a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 visa </w:t>
      </w:r>
      <w:r w:rsidR="000570A0">
        <w:rPr>
          <w:rFonts w:ascii="Arial" w:eastAsia="Times New Roman" w:hAnsi="Arial" w:cs="Arial"/>
          <w:color w:val="002855"/>
          <w:sz w:val="20"/>
          <w:szCs w:val="20"/>
        </w:rPr>
        <w:t>applicant is onshore and not at risk of their visa expiring</w:t>
      </w:r>
      <w:r w:rsidR="003E0FFD">
        <w:rPr>
          <w:rFonts w:ascii="Arial" w:eastAsia="Times New Roman" w:hAnsi="Arial" w:cs="Arial"/>
          <w:color w:val="002855"/>
          <w:sz w:val="20"/>
          <w:szCs w:val="20"/>
        </w:rPr>
        <w:t>,</w:t>
      </w:r>
      <w:r w:rsidR="000570A0">
        <w:rPr>
          <w:rFonts w:ascii="Arial" w:eastAsia="Times New Roman" w:hAnsi="Arial" w:cs="Arial"/>
          <w:color w:val="002855"/>
          <w:sz w:val="20"/>
          <w:szCs w:val="20"/>
        </w:rPr>
        <w:t xml:space="preserve"> e.g. they hold a suitable bridging visa, or if they are offshore and unable to enter Australia in the near future even if the visa is granted.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  </w:t>
      </w:r>
    </w:p>
    <w:p w14:paraId="4F56A2F9" w14:textId="49B70844" w:rsidR="000570A0" w:rsidRDefault="000570A0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0DC5026E" w14:textId="36E4A5F6" w:rsidR="000570A0" w:rsidRDefault="000570A0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 xml:space="preserve">If you have lodged an application to sponsor an overseas worker but your business is facing indefinite closure or a significant downturn in work, such that you may no longer require the overseas worker, then it </w:t>
      </w:r>
      <w:r w:rsidR="000E4CEE">
        <w:rPr>
          <w:rFonts w:ascii="Arial" w:eastAsia="Times New Roman" w:hAnsi="Arial" w:cs="Arial"/>
          <w:color w:val="002855"/>
          <w:sz w:val="20"/>
          <w:szCs w:val="20"/>
        </w:rPr>
        <w:t>would be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 appropriate for you to notify the Department regarding your business’ change in circumstances.</w:t>
      </w:r>
    </w:p>
    <w:p w14:paraId="7CBFB098" w14:textId="60E6BC71" w:rsidR="000E4CEE" w:rsidRDefault="000E4CEE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064216F2" w14:textId="5E7A3175" w:rsidR="008162FB" w:rsidRDefault="000E4CEE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>We can assist you in determining whether you are required to notify the Department regarding a change in business operations.</w:t>
      </w:r>
    </w:p>
    <w:p w14:paraId="10C83078" w14:textId="77777777" w:rsidR="008162FB" w:rsidRDefault="008162FB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17FAE58C" w14:textId="63D88B2E" w:rsidR="008162FB" w:rsidRPr="008162FB" w:rsidRDefault="000570A0" w:rsidP="008162F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00A7B5"/>
        </w:rPr>
      </w:pPr>
      <w:r w:rsidRPr="008162FB">
        <w:rPr>
          <w:rFonts w:ascii="Arial" w:eastAsia="Times New Roman" w:hAnsi="Arial" w:cs="Arial"/>
          <w:b/>
          <w:bCs/>
          <w:color w:val="00A7B5"/>
        </w:rPr>
        <w:t xml:space="preserve">If you </w:t>
      </w:r>
      <w:r w:rsidR="009717DB" w:rsidRPr="008162FB">
        <w:rPr>
          <w:rFonts w:ascii="Arial" w:eastAsia="Times New Roman" w:hAnsi="Arial" w:cs="Arial"/>
          <w:b/>
          <w:bCs/>
          <w:color w:val="00A7B5"/>
        </w:rPr>
        <w:t>cannot</w:t>
      </w:r>
      <w:r w:rsidRPr="008162FB">
        <w:rPr>
          <w:rFonts w:ascii="Arial" w:eastAsia="Times New Roman" w:hAnsi="Arial" w:cs="Arial"/>
          <w:b/>
          <w:bCs/>
          <w:color w:val="00A7B5"/>
        </w:rPr>
        <w:t xml:space="preserve"> continue employing a sponsored worker</w:t>
      </w:r>
    </w:p>
    <w:p w14:paraId="3BD0D65D" w14:textId="77777777" w:rsidR="003A7D2C" w:rsidRDefault="003A7D2C" w:rsidP="003A7D2C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55BC80A8" w14:textId="60EC1E0D" w:rsidR="003A7D2C" w:rsidRDefault="003A7D2C" w:rsidP="003A7D2C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>The</w:t>
      </w:r>
      <w:r w:rsidRPr="008162FB">
        <w:rPr>
          <w:rFonts w:ascii="Arial" w:eastAsia="Times New Roman" w:hAnsi="Arial" w:cs="Arial"/>
          <w:color w:val="002855"/>
          <w:sz w:val="20"/>
          <w:szCs w:val="20"/>
        </w:rPr>
        <w:t xml:space="preserve"> Australian Government is currently being lobbied to </w:t>
      </w:r>
      <w:r>
        <w:rPr>
          <w:rFonts w:ascii="Arial" w:eastAsia="Times New Roman" w:hAnsi="Arial" w:cs="Arial"/>
          <w:color w:val="002855"/>
          <w:sz w:val="20"/>
          <w:szCs w:val="20"/>
        </w:rPr>
        <w:t>provide assistance to</w:t>
      </w:r>
      <w:r>
        <w:rPr>
          <w:rFonts w:ascii="Arial" w:eastAsia="Times New Roman" w:hAnsi="Arial" w:cs="Arial"/>
          <w:color w:val="002855"/>
          <w:sz w:val="20"/>
          <w:szCs w:val="20"/>
        </w:rPr>
        <w:t>wards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 alleviat</w:t>
      </w:r>
      <w:r>
        <w:rPr>
          <w:rFonts w:ascii="Arial" w:eastAsia="Times New Roman" w:hAnsi="Arial" w:cs="Arial"/>
          <w:color w:val="002855"/>
          <w:sz w:val="20"/>
          <w:szCs w:val="20"/>
        </w:rPr>
        <w:t>ing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 </w:t>
      </w:r>
      <w:r w:rsidRPr="008162FB">
        <w:rPr>
          <w:rFonts w:ascii="Arial" w:eastAsia="Times New Roman" w:hAnsi="Arial" w:cs="Arial"/>
          <w:color w:val="002855"/>
          <w:sz w:val="20"/>
          <w:szCs w:val="20"/>
        </w:rPr>
        <w:t xml:space="preserve">the pressures on </w:t>
      </w:r>
      <w:r>
        <w:rPr>
          <w:rFonts w:ascii="Arial" w:eastAsia="Times New Roman" w:hAnsi="Arial" w:cs="Arial"/>
          <w:color w:val="002855"/>
          <w:sz w:val="20"/>
          <w:szCs w:val="20"/>
        </w:rPr>
        <w:t>employers</w:t>
      </w:r>
      <w:r w:rsidRPr="008162FB">
        <w:rPr>
          <w:rFonts w:ascii="Arial" w:eastAsia="Times New Roman" w:hAnsi="Arial" w:cs="Arial"/>
          <w:color w:val="002855"/>
          <w:sz w:val="20"/>
          <w:szCs w:val="20"/>
        </w:rPr>
        <w:t xml:space="preserve"> and their </w:t>
      </w:r>
      <w:r>
        <w:rPr>
          <w:rFonts w:ascii="Arial" w:eastAsia="Times New Roman" w:hAnsi="Arial" w:cs="Arial"/>
          <w:color w:val="002855"/>
          <w:sz w:val="20"/>
          <w:szCs w:val="20"/>
        </w:rPr>
        <w:t>sponsored workers.  There are also discussions underway with the Department to relax certain sponsor obligations and visa conditions</w:t>
      </w:r>
      <w:r w:rsidRPr="008162FB">
        <w:rPr>
          <w:rFonts w:ascii="Arial" w:eastAsia="Times New Roman" w:hAnsi="Arial" w:cs="Arial"/>
          <w:color w:val="002855"/>
          <w:sz w:val="20"/>
          <w:szCs w:val="20"/>
        </w:rPr>
        <w:t xml:space="preserve">.  </w:t>
      </w:r>
    </w:p>
    <w:p w14:paraId="3BA082D3" w14:textId="77777777" w:rsidR="003A7D2C" w:rsidRDefault="003A7D2C" w:rsidP="003A7D2C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17C7B1AC" w14:textId="62F7BEDE" w:rsidR="003A7D2C" w:rsidRDefault="003A7D2C" w:rsidP="003A7D2C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 xml:space="preserve">We have </w:t>
      </w:r>
      <w:r w:rsidRPr="008162FB">
        <w:rPr>
          <w:rFonts w:ascii="Arial" w:eastAsia="Times New Roman" w:hAnsi="Arial" w:cs="Arial"/>
          <w:color w:val="002855"/>
          <w:sz w:val="20"/>
          <w:szCs w:val="20"/>
        </w:rPr>
        <w:t xml:space="preserve">not 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yet </w:t>
      </w:r>
      <w:r w:rsidRPr="008162FB">
        <w:rPr>
          <w:rFonts w:ascii="Arial" w:eastAsia="Times New Roman" w:hAnsi="Arial" w:cs="Arial"/>
          <w:color w:val="002855"/>
          <w:sz w:val="20"/>
          <w:szCs w:val="20"/>
        </w:rPr>
        <w:t xml:space="preserve">received 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further </w:t>
      </w:r>
      <w:r w:rsidRPr="008162FB">
        <w:rPr>
          <w:rFonts w:ascii="Arial" w:eastAsia="Times New Roman" w:hAnsi="Arial" w:cs="Arial"/>
          <w:color w:val="002855"/>
          <w:sz w:val="20"/>
          <w:szCs w:val="20"/>
        </w:rPr>
        <w:t xml:space="preserve">updates, 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but </w:t>
      </w:r>
      <w:r w:rsidRPr="008162FB">
        <w:rPr>
          <w:rFonts w:ascii="Arial" w:eastAsia="Times New Roman" w:hAnsi="Arial" w:cs="Arial"/>
          <w:color w:val="002855"/>
          <w:sz w:val="20"/>
          <w:szCs w:val="20"/>
        </w:rPr>
        <w:t>the Department has indicated that they are working through the options to provide clear messages to sponsors and visa holders affected by this crisis.</w:t>
      </w:r>
    </w:p>
    <w:p w14:paraId="55622B01" w14:textId="77777777" w:rsidR="003A7D2C" w:rsidRDefault="003A7D2C" w:rsidP="003A7D2C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26E4C102" w14:textId="34F0FB39" w:rsidR="009717DB" w:rsidRDefault="00567DD4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 xml:space="preserve">If </w:t>
      </w:r>
      <w:r w:rsidR="009717DB">
        <w:rPr>
          <w:rFonts w:ascii="Arial" w:eastAsia="Times New Roman" w:hAnsi="Arial" w:cs="Arial"/>
          <w:color w:val="002855"/>
          <w:sz w:val="20"/>
          <w:szCs w:val="20"/>
        </w:rPr>
        <w:t>you cannot continue employing a sponsored worker</w:t>
      </w:r>
      <w:r>
        <w:rPr>
          <w:rFonts w:ascii="Arial" w:eastAsia="Times New Roman" w:hAnsi="Arial" w:cs="Arial"/>
          <w:color w:val="002855"/>
          <w:sz w:val="20"/>
          <w:szCs w:val="20"/>
        </w:rPr>
        <w:t>, then your options are currently as follows:</w:t>
      </w:r>
    </w:p>
    <w:p w14:paraId="7295E057" w14:textId="7ACC5B0B" w:rsidR="009717DB" w:rsidRDefault="009717DB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0CCDB580" w14:textId="4AA325D0" w:rsidR="009717DB" w:rsidRPr="00B1415C" w:rsidRDefault="009717DB" w:rsidP="009717D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2855"/>
          <w:sz w:val="20"/>
          <w:szCs w:val="20"/>
        </w:rPr>
      </w:pPr>
      <w:r w:rsidRPr="00B1415C">
        <w:rPr>
          <w:rFonts w:ascii="Arial" w:eastAsia="Times New Roman" w:hAnsi="Arial" w:cs="Arial"/>
          <w:b/>
          <w:bCs/>
          <w:color w:val="002855"/>
          <w:sz w:val="20"/>
          <w:szCs w:val="20"/>
        </w:rPr>
        <w:t xml:space="preserve">Leave Without Pay </w:t>
      </w:r>
    </w:p>
    <w:p w14:paraId="1A81CD22" w14:textId="41A17962" w:rsidR="009717DB" w:rsidRDefault="009717DB" w:rsidP="009717DB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</w:p>
    <w:p w14:paraId="5190F893" w14:textId="33DD94E6" w:rsidR="00B1415C" w:rsidRDefault="009717DB" w:rsidP="009717DB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>A sponsored worker may take Leave Without Pay (</w:t>
      </w:r>
      <w:r>
        <w:rPr>
          <w:rFonts w:ascii="Arial" w:eastAsia="Times New Roman" w:hAnsi="Arial" w:cs="Arial"/>
          <w:b/>
          <w:bCs/>
          <w:color w:val="002855"/>
          <w:sz w:val="20"/>
          <w:szCs w:val="20"/>
        </w:rPr>
        <w:t>LWOP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) </w:t>
      </w:r>
      <w:r w:rsidR="00B1415C">
        <w:rPr>
          <w:rFonts w:ascii="Arial" w:eastAsia="Times New Roman" w:hAnsi="Arial" w:cs="Arial"/>
          <w:color w:val="002855"/>
          <w:sz w:val="20"/>
          <w:szCs w:val="20"/>
        </w:rPr>
        <w:t>without risking their visa</w:t>
      </w:r>
      <w:r w:rsidR="00223F88">
        <w:rPr>
          <w:rFonts w:ascii="Arial" w:eastAsia="Times New Roman" w:hAnsi="Arial" w:cs="Arial"/>
          <w:color w:val="002855"/>
          <w:sz w:val="20"/>
          <w:szCs w:val="20"/>
        </w:rPr>
        <w:t>*</w:t>
      </w:r>
      <w:r w:rsidR="00B1415C">
        <w:rPr>
          <w:rFonts w:ascii="Arial" w:eastAsia="Times New Roman" w:hAnsi="Arial" w:cs="Arial"/>
          <w:color w:val="002855"/>
          <w:sz w:val="20"/>
          <w:szCs w:val="20"/>
        </w:rPr>
        <w:t xml:space="preserve">, but the impact is that TSS and 457 Visa holders are prevented from working for any employer who is not their sponsor.  </w:t>
      </w:r>
    </w:p>
    <w:p w14:paraId="3EC1E94F" w14:textId="77777777" w:rsidR="00B1415C" w:rsidRDefault="00B1415C" w:rsidP="009717DB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</w:p>
    <w:p w14:paraId="1054E0CA" w14:textId="1ECD3A30" w:rsidR="00B1415C" w:rsidRDefault="00B1415C" w:rsidP="009717DB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 xml:space="preserve">If you decide to enter into a LWOP arrangement, </w:t>
      </w:r>
      <w:r w:rsidR="00FC2836">
        <w:rPr>
          <w:rFonts w:ascii="Arial" w:eastAsia="Times New Roman" w:hAnsi="Arial" w:cs="Arial"/>
          <w:color w:val="002855"/>
          <w:sz w:val="20"/>
          <w:szCs w:val="20"/>
        </w:rPr>
        <w:t xml:space="preserve">then </w:t>
      </w:r>
      <w:r>
        <w:rPr>
          <w:rFonts w:ascii="Arial" w:eastAsia="Times New Roman" w:hAnsi="Arial" w:cs="Arial"/>
          <w:color w:val="002855"/>
          <w:sz w:val="20"/>
          <w:szCs w:val="20"/>
        </w:rPr>
        <w:t>this must be</w:t>
      </w:r>
      <w:r w:rsidR="00223F88">
        <w:rPr>
          <w:rFonts w:ascii="Arial" w:eastAsia="Times New Roman" w:hAnsi="Arial" w:cs="Arial"/>
          <w:color w:val="002855"/>
          <w:sz w:val="20"/>
          <w:szCs w:val="20"/>
        </w:rPr>
        <w:t xml:space="preserve"> mutually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 agreed to in writing </w:t>
      </w:r>
      <w:r w:rsidR="00223F88">
        <w:rPr>
          <w:rFonts w:ascii="Arial" w:eastAsia="Times New Roman" w:hAnsi="Arial" w:cs="Arial"/>
          <w:color w:val="002855"/>
          <w:sz w:val="20"/>
          <w:szCs w:val="20"/>
        </w:rPr>
        <w:t xml:space="preserve">with the </w:t>
      </w:r>
      <w:r>
        <w:rPr>
          <w:rFonts w:ascii="Arial" w:eastAsia="Times New Roman" w:hAnsi="Arial" w:cs="Arial"/>
          <w:color w:val="002855"/>
          <w:sz w:val="20"/>
          <w:szCs w:val="20"/>
        </w:rPr>
        <w:t>sponsored worker and you should retain these records as evidence</w:t>
      </w:r>
      <w:r w:rsidR="000E4CEE">
        <w:rPr>
          <w:rFonts w:ascii="Arial" w:eastAsia="Times New Roman" w:hAnsi="Arial" w:cs="Arial"/>
          <w:color w:val="002855"/>
          <w:sz w:val="20"/>
          <w:szCs w:val="20"/>
        </w:rPr>
        <w:t xml:space="preserve"> of this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.  </w:t>
      </w:r>
    </w:p>
    <w:p w14:paraId="7960E1C7" w14:textId="77777777" w:rsidR="00B1415C" w:rsidRDefault="00B1415C" w:rsidP="009717DB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</w:p>
    <w:p w14:paraId="61BD4886" w14:textId="677CC29C" w:rsidR="00B1415C" w:rsidRDefault="00B1415C" w:rsidP="009717DB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>The Department does not need to approve LWOP arrangements.</w:t>
      </w:r>
    </w:p>
    <w:p w14:paraId="36EE9568" w14:textId="77777777" w:rsidR="00223F88" w:rsidRDefault="00223F88" w:rsidP="00223F88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</w:p>
    <w:p w14:paraId="79E699FC" w14:textId="4CD0169F" w:rsidR="00223F88" w:rsidRPr="009717DB" w:rsidRDefault="00223F88" w:rsidP="00223F88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 xml:space="preserve">* </w:t>
      </w:r>
      <w:r w:rsidRPr="00223F88">
        <w:rPr>
          <w:rFonts w:ascii="Arial" w:eastAsia="Times New Roman" w:hAnsi="Arial" w:cs="Arial"/>
          <w:i/>
          <w:iCs/>
          <w:color w:val="002855"/>
          <w:sz w:val="20"/>
          <w:szCs w:val="20"/>
        </w:rPr>
        <w:t>The limit to the amount of LWOP that can be taken is usually</w:t>
      </w:r>
      <w:r>
        <w:rPr>
          <w:rFonts w:ascii="Arial" w:eastAsia="Times New Roman" w:hAnsi="Arial" w:cs="Arial"/>
          <w:i/>
          <w:iCs/>
          <w:color w:val="002855"/>
          <w:sz w:val="20"/>
          <w:szCs w:val="20"/>
        </w:rPr>
        <w:t xml:space="preserve"> up to</w:t>
      </w:r>
      <w:r w:rsidRPr="00223F88">
        <w:rPr>
          <w:rFonts w:ascii="Arial" w:eastAsia="Times New Roman" w:hAnsi="Arial" w:cs="Arial"/>
          <w:i/>
          <w:iCs/>
          <w:color w:val="002855"/>
          <w:sz w:val="20"/>
          <w:szCs w:val="20"/>
        </w:rPr>
        <w:t xml:space="preserve"> three months however, special consideration may apply where there are exceptional circumstances – and we expect that the Department will take a concessional view in circumstances relating to the COVID-19 climate.</w:t>
      </w:r>
    </w:p>
    <w:p w14:paraId="14EC7196" w14:textId="77777777" w:rsidR="009717DB" w:rsidRDefault="009717DB" w:rsidP="009717DB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</w:p>
    <w:p w14:paraId="00DB7434" w14:textId="1EE494B5" w:rsidR="009717DB" w:rsidRPr="00B1415C" w:rsidRDefault="009717DB" w:rsidP="009717D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2855"/>
          <w:sz w:val="20"/>
          <w:szCs w:val="20"/>
        </w:rPr>
      </w:pPr>
      <w:r w:rsidRPr="00B1415C">
        <w:rPr>
          <w:rFonts w:ascii="Arial" w:eastAsia="Times New Roman" w:hAnsi="Arial" w:cs="Arial"/>
          <w:b/>
          <w:bCs/>
          <w:color w:val="002855"/>
          <w:sz w:val="20"/>
          <w:szCs w:val="20"/>
        </w:rPr>
        <w:t>Reduced Hours</w:t>
      </w:r>
    </w:p>
    <w:p w14:paraId="4EF80C8B" w14:textId="77777777" w:rsidR="00A12980" w:rsidRDefault="00A12980" w:rsidP="00A12980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</w:p>
    <w:p w14:paraId="1D060F82" w14:textId="0C8DADFE" w:rsidR="00A12980" w:rsidRDefault="00A12980" w:rsidP="00A12980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>You cannot change a sponsored worker to a “casual” employment status.</w:t>
      </w:r>
    </w:p>
    <w:p w14:paraId="3258B2DB" w14:textId="77777777" w:rsidR="00A12980" w:rsidRDefault="00A12980" w:rsidP="00A12980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</w:p>
    <w:p w14:paraId="41935253" w14:textId="4200DB85" w:rsidR="00223F88" w:rsidRDefault="00751DE5" w:rsidP="00751DE5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>Whether a sponsored worker may work reduced hours will depend on whether they hold a TSS or 457 Visa.  In that regard, we note as follows:</w:t>
      </w:r>
    </w:p>
    <w:p w14:paraId="203C6CAF" w14:textId="77777777" w:rsidR="00751DE5" w:rsidRDefault="00751DE5" w:rsidP="00751DE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2855"/>
          <w:sz w:val="20"/>
          <w:szCs w:val="20"/>
        </w:rPr>
      </w:pPr>
    </w:p>
    <w:p w14:paraId="075114BC" w14:textId="2F36B023" w:rsidR="00A12980" w:rsidRDefault="00751DE5" w:rsidP="00A12980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 xml:space="preserve">A TSS Visa holder </w:t>
      </w:r>
      <w:r w:rsidRPr="00751DE5">
        <w:rPr>
          <w:rFonts w:ascii="Arial" w:eastAsia="Times New Roman" w:hAnsi="Arial" w:cs="Arial"/>
          <w:i/>
          <w:iCs/>
          <w:color w:val="002855"/>
          <w:sz w:val="20"/>
          <w:szCs w:val="20"/>
        </w:rPr>
        <w:t>may not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 work reduced hours, as their annual earnings must not be less than their approved salary as indicated during the visa application process.</w:t>
      </w:r>
    </w:p>
    <w:p w14:paraId="60100016" w14:textId="77777777" w:rsidR="00A12980" w:rsidRPr="00A12980" w:rsidRDefault="00A12980" w:rsidP="00A1298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2855"/>
          <w:sz w:val="20"/>
          <w:szCs w:val="20"/>
        </w:rPr>
      </w:pPr>
    </w:p>
    <w:p w14:paraId="5AA6F41F" w14:textId="431C0818" w:rsidR="00A12980" w:rsidRDefault="00751DE5" w:rsidP="00A12980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 xml:space="preserve">A 457 Visa holder </w:t>
      </w:r>
      <w:r w:rsidRPr="00751DE5">
        <w:rPr>
          <w:rFonts w:ascii="Arial" w:eastAsia="Times New Roman" w:hAnsi="Arial" w:cs="Arial"/>
          <w:i/>
          <w:iCs/>
          <w:color w:val="002855"/>
          <w:sz w:val="20"/>
          <w:szCs w:val="20"/>
        </w:rPr>
        <w:t>may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 work reduced hours, provided that:</w:t>
      </w:r>
    </w:p>
    <w:p w14:paraId="39684ED9" w14:textId="77777777" w:rsidR="00A12980" w:rsidRPr="00A12980" w:rsidRDefault="00A12980" w:rsidP="00A12980">
      <w:pPr>
        <w:pStyle w:val="ListParagraph"/>
        <w:rPr>
          <w:rFonts w:ascii="Arial" w:eastAsia="Times New Roman" w:hAnsi="Arial" w:cs="Arial"/>
          <w:color w:val="002855"/>
          <w:sz w:val="20"/>
          <w:szCs w:val="20"/>
        </w:rPr>
      </w:pPr>
    </w:p>
    <w:p w14:paraId="6DE806DB" w14:textId="19B2C2A3" w:rsidR="00751DE5" w:rsidRDefault="003E0FFD" w:rsidP="00A12980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>T</w:t>
      </w:r>
      <w:r w:rsidR="00751DE5">
        <w:rPr>
          <w:rFonts w:ascii="Arial" w:eastAsia="Times New Roman" w:hAnsi="Arial" w:cs="Arial"/>
          <w:color w:val="002855"/>
          <w:sz w:val="20"/>
          <w:szCs w:val="20"/>
        </w:rPr>
        <w:t>he terms and conditions of their employment are not less favourable than an Australian (citizen or permanent resident) employee performing equivalent work at the same location.</w:t>
      </w:r>
    </w:p>
    <w:p w14:paraId="20022227" w14:textId="77777777" w:rsidR="00A12980" w:rsidRDefault="00A12980" w:rsidP="00A1298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2855"/>
          <w:sz w:val="20"/>
          <w:szCs w:val="20"/>
        </w:rPr>
      </w:pPr>
    </w:p>
    <w:p w14:paraId="11C7E1C0" w14:textId="61960BD7" w:rsidR="00751DE5" w:rsidRDefault="003E0FFD" w:rsidP="00A12980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>A</w:t>
      </w:r>
      <w:r w:rsidR="00A12980">
        <w:rPr>
          <w:rFonts w:ascii="Arial" w:eastAsia="Times New Roman" w:hAnsi="Arial" w:cs="Arial"/>
          <w:color w:val="002855"/>
          <w:sz w:val="20"/>
          <w:szCs w:val="20"/>
        </w:rPr>
        <w:t xml:space="preserve">t the same rate of pay (with reference to their approved salary) for the reduced hours, </w:t>
      </w:r>
      <w:r w:rsidR="00751DE5">
        <w:rPr>
          <w:rFonts w:ascii="Arial" w:eastAsia="Times New Roman" w:hAnsi="Arial" w:cs="Arial"/>
          <w:color w:val="002855"/>
          <w:sz w:val="20"/>
          <w:szCs w:val="20"/>
        </w:rPr>
        <w:t>they are still earning at least the amount of the Temporary Skilled Migration Income Threshold of $53,900 per annum.</w:t>
      </w:r>
    </w:p>
    <w:p w14:paraId="46B1E0F0" w14:textId="77777777" w:rsidR="00A12980" w:rsidRDefault="00A12980" w:rsidP="00A1298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2855"/>
          <w:sz w:val="20"/>
          <w:szCs w:val="20"/>
        </w:rPr>
      </w:pPr>
    </w:p>
    <w:p w14:paraId="7CD004C6" w14:textId="44CA682C" w:rsidR="000E4CEE" w:rsidRPr="00751DE5" w:rsidRDefault="003E0FFD" w:rsidP="00A12980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>I</w:t>
      </w:r>
      <w:r w:rsidR="000E4CEE" w:rsidRPr="00751DE5">
        <w:rPr>
          <w:rFonts w:ascii="Arial" w:eastAsia="Times New Roman" w:hAnsi="Arial" w:cs="Arial"/>
          <w:color w:val="002855"/>
          <w:sz w:val="20"/>
          <w:szCs w:val="20"/>
        </w:rPr>
        <w:t xml:space="preserve">f the sponsored worker’s approved position is imposed with a caveat requiring a minimum amount of annual earnings, then </w:t>
      </w:r>
      <w:r w:rsidR="00A12980">
        <w:rPr>
          <w:rFonts w:ascii="Arial" w:eastAsia="Times New Roman" w:hAnsi="Arial" w:cs="Arial"/>
          <w:color w:val="002855"/>
          <w:sz w:val="20"/>
          <w:szCs w:val="20"/>
        </w:rPr>
        <w:t>they must still earn at least that amount</w:t>
      </w:r>
      <w:r w:rsidR="000E4CEE" w:rsidRPr="00751DE5">
        <w:rPr>
          <w:rFonts w:ascii="Arial" w:eastAsia="Times New Roman" w:hAnsi="Arial" w:cs="Arial"/>
          <w:color w:val="002855"/>
          <w:sz w:val="20"/>
          <w:szCs w:val="20"/>
        </w:rPr>
        <w:t>.</w:t>
      </w:r>
    </w:p>
    <w:p w14:paraId="5A21B83F" w14:textId="0B8EB72B" w:rsidR="000E4CEE" w:rsidRDefault="000E4CEE" w:rsidP="009717DB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</w:p>
    <w:p w14:paraId="7D15B54C" w14:textId="570149E5" w:rsidR="00A12980" w:rsidRDefault="00A12980" w:rsidP="009717DB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>If you are considering this option, please seek advice to ensure that you are in compliance with your sponsor obligations.</w:t>
      </w:r>
    </w:p>
    <w:p w14:paraId="0F85655F" w14:textId="77777777" w:rsidR="00A12980" w:rsidRDefault="00A12980" w:rsidP="009717DB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</w:p>
    <w:p w14:paraId="05ED07F5" w14:textId="6F627F9C" w:rsidR="009717DB" w:rsidRPr="00751DE5" w:rsidRDefault="009717DB" w:rsidP="00751DE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2855"/>
          <w:sz w:val="20"/>
          <w:szCs w:val="20"/>
        </w:rPr>
      </w:pPr>
      <w:r w:rsidRPr="00751DE5">
        <w:rPr>
          <w:rFonts w:ascii="Arial" w:eastAsia="Times New Roman" w:hAnsi="Arial" w:cs="Arial"/>
          <w:b/>
          <w:bCs/>
          <w:color w:val="002855"/>
          <w:sz w:val="20"/>
          <w:szCs w:val="20"/>
        </w:rPr>
        <w:t>Termination of Employment</w:t>
      </w:r>
    </w:p>
    <w:p w14:paraId="52A0ECD3" w14:textId="7C222E77" w:rsidR="009717DB" w:rsidRDefault="009717DB" w:rsidP="009717DB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</w:p>
    <w:p w14:paraId="465D7F12" w14:textId="415D728E" w:rsidR="00A12980" w:rsidRDefault="00A12980" w:rsidP="009717DB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>If it is not financially viable to continue employing a sponsored worker</w:t>
      </w:r>
      <w:r w:rsidR="008162FB">
        <w:rPr>
          <w:rFonts w:ascii="Arial" w:eastAsia="Times New Roman" w:hAnsi="Arial" w:cs="Arial"/>
          <w:color w:val="002855"/>
          <w:sz w:val="20"/>
          <w:szCs w:val="20"/>
        </w:rPr>
        <w:t xml:space="preserve"> and you are required to terminate their employment, then you must </w:t>
      </w:r>
      <w:r>
        <w:rPr>
          <w:rFonts w:ascii="Arial" w:eastAsia="Times New Roman" w:hAnsi="Arial" w:cs="Arial"/>
          <w:color w:val="002855"/>
          <w:sz w:val="20"/>
          <w:szCs w:val="20"/>
        </w:rPr>
        <w:t>notify the Department within 28 calendar days.</w:t>
      </w:r>
    </w:p>
    <w:p w14:paraId="0D4CC419" w14:textId="550B9E3D" w:rsidR="00A12980" w:rsidRDefault="00A12980" w:rsidP="009717DB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</w:p>
    <w:p w14:paraId="325BBDD7" w14:textId="3DB94661" w:rsidR="003E0FFD" w:rsidRDefault="003E0FFD" w:rsidP="008162FB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 xml:space="preserve">The sponsored worker will then have a certain amount of time to </w:t>
      </w:r>
      <w:r w:rsidR="008162FB">
        <w:rPr>
          <w:rFonts w:ascii="Arial" w:eastAsia="Times New Roman" w:hAnsi="Arial" w:cs="Arial"/>
          <w:color w:val="002855"/>
          <w:sz w:val="20"/>
          <w:szCs w:val="20"/>
        </w:rPr>
        <w:t xml:space="preserve">leave Australia, find a new employer </w:t>
      </w:r>
      <w:r w:rsidR="00A12980" w:rsidRPr="003E0FFD">
        <w:rPr>
          <w:rFonts w:ascii="Arial" w:eastAsia="Times New Roman" w:hAnsi="Arial" w:cs="Arial"/>
          <w:color w:val="002855"/>
          <w:sz w:val="20"/>
          <w:szCs w:val="20"/>
        </w:rPr>
        <w:t xml:space="preserve">and </w:t>
      </w:r>
      <w:r w:rsidRPr="003E0FFD">
        <w:rPr>
          <w:rFonts w:ascii="Arial" w:eastAsia="Times New Roman" w:hAnsi="Arial" w:cs="Arial"/>
          <w:color w:val="002855"/>
          <w:sz w:val="20"/>
          <w:szCs w:val="20"/>
        </w:rPr>
        <w:t xml:space="preserve">lodge the 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necessary </w:t>
      </w:r>
      <w:r w:rsidRPr="003E0FFD">
        <w:rPr>
          <w:rFonts w:ascii="Arial" w:eastAsia="Times New Roman" w:hAnsi="Arial" w:cs="Arial"/>
          <w:color w:val="002855"/>
          <w:sz w:val="20"/>
          <w:szCs w:val="20"/>
        </w:rPr>
        <w:t xml:space="preserve">application to </w:t>
      </w:r>
      <w:r w:rsidR="00A12980" w:rsidRPr="003E0FFD">
        <w:rPr>
          <w:rFonts w:ascii="Arial" w:eastAsia="Times New Roman" w:hAnsi="Arial" w:cs="Arial"/>
          <w:color w:val="002855"/>
          <w:sz w:val="20"/>
          <w:szCs w:val="20"/>
        </w:rPr>
        <w:t>transfer their visa across</w:t>
      </w:r>
      <w:r w:rsidR="008162FB">
        <w:rPr>
          <w:rFonts w:ascii="Arial" w:eastAsia="Times New Roman" w:hAnsi="Arial" w:cs="Arial"/>
          <w:color w:val="002855"/>
          <w:sz w:val="20"/>
          <w:szCs w:val="20"/>
        </w:rPr>
        <w:t>, or l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odge another </w:t>
      </w:r>
      <w:r w:rsidR="008162FB">
        <w:rPr>
          <w:rFonts w:ascii="Arial" w:eastAsia="Times New Roman" w:hAnsi="Arial" w:cs="Arial"/>
          <w:color w:val="002855"/>
          <w:sz w:val="20"/>
          <w:szCs w:val="20"/>
        </w:rPr>
        <w:t xml:space="preserve">type of </w:t>
      </w:r>
      <w:r>
        <w:rPr>
          <w:rFonts w:ascii="Arial" w:eastAsia="Times New Roman" w:hAnsi="Arial" w:cs="Arial"/>
          <w:color w:val="002855"/>
          <w:sz w:val="20"/>
          <w:szCs w:val="20"/>
        </w:rPr>
        <w:t>visa application</w:t>
      </w:r>
      <w:r w:rsidR="008162FB">
        <w:rPr>
          <w:rFonts w:ascii="Arial" w:eastAsia="Times New Roman" w:hAnsi="Arial" w:cs="Arial"/>
          <w:color w:val="002855"/>
          <w:sz w:val="20"/>
          <w:szCs w:val="20"/>
        </w:rPr>
        <w:t xml:space="preserve"> to extend their stay in Australia</w:t>
      </w:r>
      <w:r>
        <w:rPr>
          <w:rFonts w:ascii="Arial" w:eastAsia="Times New Roman" w:hAnsi="Arial" w:cs="Arial"/>
          <w:color w:val="002855"/>
          <w:sz w:val="20"/>
          <w:szCs w:val="20"/>
        </w:rPr>
        <w:t>.</w:t>
      </w:r>
    </w:p>
    <w:p w14:paraId="6BF42284" w14:textId="77777777" w:rsidR="003E0FFD" w:rsidRDefault="003E0FFD" w:rsidP="003E0FFD">
      <w:pPr>
        <w:spacing w:after="0" w:line="240" w:lineRule="auto"/>
        <w:ind w:left="360" w:firstLine="360"/>
        <w:rPr>
          <w:rFonts w:ascii="Arial" w:eastAsia="Times New Roman" w:hAnsi="Arial" w:cs="Arial"/>
          <w:color w:val="002855"/>
          <w:sz w:val="20"/>
          <w:szCs w:val="20"/>
        </w:rPr>
      </w:pPr>
    </w:p>
    <w:p w14:paraId="39C27BFA" w14:textId="029DBF33" w:rsidR="00A12980" w:rsidRPr="003E0FFD" w:rsidRDefault="003E0FFD" w:rsidP="003E0FFD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>The timeframe within which the sponsored worker must take action will depend on whether they hold a TSS or 457 Visa, as outlined below</w:t>
      </w:r>
      <w:r w:rsidR="00A12980" w:rsidRPr="003E0FFD">
        <w:rPr>
          <w:rFonts w:ascii="Arial" w:eastAsia="Times New Roman" w:hAnsi="Arial" w:cs="Arial"/>
          <w:color w:val="002855"/>
          <w:sz w:val="20"/>
          <w:szCs w:val="20"/>
        </w:rPr>
        <w:t>:</w:t>
      </w:r>
    </w:p>
    <w:p w14:paraId="6B642456" w14:textId="77777777" w:rsidR="003E0FFD" w:rsidRPr="003E0FFD" w:rsidRDefault="003E0FFD" w:rsidP="003E0FFD">
      <w:pPr>
        <w:pStyle w:val="ListParagraph"/>
        <w:rPr>
          <w:rFonts w:ascii="Arial" w:eastAsia="Times New Roman" w:hAnsi="Arial" w:cs="Arial"/>
          <w:color w:val="002855"/>
          <w:sz w:val="20"/>
          <w:szCs w:val="20"/>
        </w:rPr>
      </w:pPr>
    </w:p>
    <w:p w14:paraId="7BD2D62C" w14:textId="77777777" w:rsidR="003E0FFD" w:rsidRPr="003E0FFD" w:rsidRDefault="003E0FFD" w:rsidP="003E0FF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>TSS Visa holders will have 60 days to take action.</w:t>
      </w:r>
    </w:p>
    <w:p w14:paraId="5D483570" w14:textId="3636FF1A" w:rsidR="00A12980" w:rsidRDefault="00A12980" w:rsidP="009717DB">
      <w:pPr>
        <w:spacing w:after="0" w:line="240" w:lineRule="auto"/>
        <w:ind w:left="720"/>
        <w:rPr>
          <w:rFonts w:ascii="Arial" w:eastAsia="Times New Roman" w:hAnsi="Arial" w:cs="Arial"/>
          <w:color w:val="002855"/>
          <w:sz w:val="20"/>
          <w:szCs w:val="20"/>
        </w:rPr>
      </w:pPr>
    </w:p>
    <w:p w14:paraId="43BC2FE1" w14:textId="4FF9EDB3" w:rsidR="003E0FFD" w:rsidRPr="003E0FFD" w:rsidRDefault="003E0FFD" w:rsidP="003E0FF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 w:rsidRPr="003E0FFD">
        <w:rPr>
          <w:rFonts w:ascii="Arial" w:eastAsia="Times New Roman" w:hAnsi="Arial" w:cs="Arial"/>
          <w:color w:val="002855"/>
          <w:sz w:val="20"/>
          <w:szCs w:val="20"/>
        </w:rPr>
        <w:t>For 457 Visa holders, the time limit will depend on when their visa was granted:</w:t>
      </w:r>
    </w:p>
    <w:p w14:paraId="12583B54" w14:textId="77777777" w:rsidR="003E0FFD" w:rsidRDefault="003E0FFD" w:rsidP="003E0FF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2855"/>
          <w:sz w:val="20"/>
          <w:szCs w:val="20"/>
        </w:rPr>
      </w:pPr>
    </w:p>
    <w:p w14:paraId="7AF4C6D1" w14:textId="0A4781C1" w:rsidR="003E0FFD" w:rsidRDefault="003E0FFD" w:rsidP="003E0FF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 xml:space="preserve">If their visa was granted </w:t>
      </w:r>
      <w:r w:rsidRPr="003E0FFD">
        <w:rPr>
          <w:rFonts w:ascii="Arial" w:eastAsia="Times New Roman" w:hAnsi="Arial" w:cs="Arial"/>
          <w:color w:val="002855"/>
          <w:sz w:val="20"/>
          <w:szCs w:val="20"/>
        </w:rPr>
        <w:t>on or after 19 November 2016</w:t>
      </w:r>
      <w:r>
        <w:rPr>
          <w:rFonts w:ascii="Arial" w:eastAsia="Times New Roman" w:hAnsi="Arial" w:cs="Arial"/>
          <w:color w:val="002855"/>
          <w:sz w:val="20"/>
          <w:szCs w:val="20"/>
        </w:rPr>
        <w:t>, then the time limit is 60 days.</w:t>
      </w:r>
    </w:p>
    <w:p w14:paraId="74498760" w14:textId="77777777" w:rsidR="003E0FFD" w:rsidRPr="003E0FFD" w:rsidRDefault="003E0FFD" w:rsidP="003E0FF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2855"/>
          <w:sz w:val="20"/>
          <w:szCs w:val="20"/>
        </w:rPr>
      </w:pPr>
    </w:p>
    <w:p w14:paraId="76E5541F" w14:textId="226E1EFF" w:rsidR="00A12980" w:rsidRDefault="003E0FFD" w:rsidP="003E0FF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 xml:space="preserve">If </w:t>
      </w:r>
      <w:r w:rsidR="008162FB">
        <w:rPr>
          <w:rFonts w:ascii="Arial" w:eastAsia="Times New Roman" w:hAnsi="Arial" w:cs="Arial"/>
          <w:color w:val="002855"/>
          <w:sz w:val="20"/>
          <w:szCs w:val="20"/>
        </w:rPr>
        <w:t>their</w:t>
      </w:r>
      <w:r w:rsidRPr="003E0FFD">
        <w:rPr>
          <w:rFonts w:ascii="Arial" w:eastAsia="Times New Roman" w:hAnsi="Arial" w:cs="Arial"/>
          <w:color w:val="002855"/>
          <w:sz w:val="20"/>
          <w:szCs w:val="20"/>
        </w:rPr>
        <w:t xml:space="preserve"> visa was granted before 19 November 2016</w:t>
      </w:r>
      <w:r>
        <w:rPr>
          <w:rFonts w:ascii="Arial" w:eastAsia="Times New Roman" w:hAnsi="Arial" w:cs="Arial"/>
          <w:color w:val="002855"/>
          <w:sz w:val="20"/>
          <w:szCs w:val="20"/>
        </w:rPr>
        <w:t>, then the time limit is 90 days.</w:t>
      </w:r>
    </w:p>
    <w:p w14:paraId="6865FA5F" w14:textId="77777777" w:rsidR="003A7D2C" w:rsidRDefault="003A7D2C" w:rsidP="003A7D2C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573B62EC" w14:textId="77777777" w:rsidR="008162FB" w:rsidRPr="008162FB" w:rsidRDefault="00D62F5A" w:rsidP="008162FB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 w:rsidRPr="008162FB">
        <w:rPr>
          <w:rFonts w:ascii="Arial" w:eastAsia="Times New Roman" w:hAnsi="Arial" w:cs="Arial"/>
          <w:b/>
          <w:bCs/>
          <w:color w:val="00A7B5"/>
        </w:rPr>
        <w:t>What to consider for your business</w:t>
      </w:r>
    </w:p>
    <w:p w14:paraId="2739DF1E" w14:textId="77777777" w:rsidR="00567DD4" w:rsidRDefault="00567DD4" w:rsidP="00567DD4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28F5B83C" w14:textId="75A9A046" w:rsidR="003A7D2C" w:rsidRDefault="003A7D2C" w:rsidP="003A7D2C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>As a standing offer, all QHA Members may access free chats (up to 15 minutes) over the phone with our migration team regarding any visa queries.</w:t>
      </w:r>
    </w:p>
    <w:p w14:paraId="07768C67" w14:textId="77777777" w:rsidR="003A7D2C" w:rsidRDefault="003A7D2C" w:rsidP="003A7D2C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bookmarkStart w:id="0" w:name="_GoBack"/>
      <w:bookmarkEnd w:id="0"/>
    </w:p>
    <w:p w14:paraId="3C875455" w14:textId="6AF72B02" w:rsidR="00567DD4" w:rsidRPr="008162FB" w:rsidRDefault="00567DD4" w:rsidP="00567DD4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 w:rsidRPr="008162FB">
        <w:rPr>
          <w:rFonts w:ascii="Arial" w:eastAsia="Times New Roman" w:hAnsi="Arial" w:cs="Arial"/>
          <w:color w:val="002855"/>
          <w:sz w:val="20"/>
          <w:szCs w:val="20"/>
        </w:rPr>
        <w:lastRenderedPageBreak/>
        <w:t xml:space="preserve">Please keep in mind that </w:t>
      </w:r>
      <w:r>
        <w:rPr>
          <w:rFonts w:ascii="Arial" w:eastAsia="Times New Roman" w:hAnsi="Arial" w:cs="Arial"/>
          <w:color w:val="002855"/>
          <w:sz w:val="20"/>
          <w:szCs w:val="20"/>
        </w:rPr>
        <w:t>the</w:t>
      </w:r>
      <w:r w:rsidRPr="008162FB">
        <w:rPr>
          <w:rFonts w:ascii="Arial" w:eastAsia="Times New Roman" w:hAnsi="Arial" w:cs="Arial"/>
          <w:color w:val="002855"/>
          <w:sz w:val="20"/>
          <w:szCs w:val="20"/>
        </w:rPr>
        <w:t xml:space="preserve"> options discussed 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above are </w:t>
      </w:r>
      <w:r w:rsidRPr="008162FB">
        <w:rPr>
          <w:rFonts w:ascii="Arial" w:eastAsia="Times New Roman" w:hAnsi="Arial" w:cs="Arial"/>
          <w:color w:val="002855"/>
          <w:sz w:val="20"/>
          <w:szCs w:val="20"/>
        </w:rPr>
        <w:t>from an immigration</w:t>
      </w:r>
      <w:r>
        <w:rPr>
          <w:rFonts w:ascii="Arial" w:eastAsia="Times New Roman" w:hAnsi="Arial" w:cs="Arial"/>
          <w:color w:val="002855"/>
          <w:sz w:val="20"/>
          <w:szCs w:val="20"/>
        </w:rPr>
        <w:t xml:space="preserve"> law</w:t>
      </w:r>
      <w:r w:rsidRPr="008162FB">
        <w:rPr>
          <w:rFonts w:ascii="Arial" w:eastAsia="Times New Roman" w:hAnsi="Arial" w:cs="Arial"/>
          <w:color w:val="002855"/>
          <w:sz w:val="20"/>
          <w:szCs w:val="20"/>
        </w:rPr>
        <w:t xml:space="preserve"> perspective.  If you require assistance with understanding your obligations from an employment law perspective, then please consider </w:t>
      </w:r>
      <w:hyperlink r:id="rId6" w:history="1">
        <w:r w:rsidRPr="00567DD4">
          <w:rPr>
            <w:rStyle w:val="Hyperlink"/>
            <w:rFonts w:ascii="Arial" w:eastAsia="Times New Roman" w:hAnsi="Arial" w:cs="Arial"/>
            <w:sz w:val="20"/>
            <w:szCs w:val="20"/>
          </w:rPr>
          <w:t>Mullins</w:t>
        </w:r>
      </w:hyperlink>
      <w:r w:rsidRPr="008162FB">
        <w:rPr>
          <w:rFonts w:ascii="Arial" w:eastAsia="Times New Roman" w:hAnsi="Arial" w:cs="Arial"/>
          <w:color w:val="002855"/>
          <w:sz w:val="20"/>
          <w:szCs w:val="20"/>
        </w:rPr>
        <w:t>’ recent publications as follows:</w:t>
      </w:r>
    </w:p>
    <w:p w14:paraId="2EBB1E04" w14:textId="77777777" w:rsidR="00567DD4" w:rsidRDefault="00567DD4" w:rsidP="00567DD4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5B7B50D3" w14:textId="77777777" w:rsidR="00567DD4" w:rsidRPr="008162FB" w:rsidRDefault="00567DD4" w:rsidP="00567DD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002855"/>
          <w:sz w:val="20"/>
          <w:szCs w:val="20"/>
        </w:rPr>
      </w:pPr>
      <w:r w:rsidRPr="008162FB">
        <w:rPr>
          <w:rFonts w:ascii="Arial" w:eastAsia="Times New Roman" w:hAnsi="Arial" w:cs="Arial"/>
          <w:b/>
          <w:bCs/>
          <w:color w:val="002855"/>
          <w:sz w:val="20"/>
          <w:szCs w:val="20"/>
        </w:rPr>
        <w:t>Employment Update: COVID-19</w:t>
      </w:r>
    </w:p>
    <w:p w14:paraId="24D89289" w14:textId="77777777" w:rsidR="00567DD4" w:rsidRPr="008162FB" w:rsidRDefault="00567DD4" w:rsidP="00567DD4">
      <w:pPr>
        <w:pStyle w:val="ListParagraph"/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hyperlink r:id="rId7" w:history="1">
        <w:r w:rsidRPr="008162FB">
          <w:rPr>
            <w:rStyle w:val="Hyperlink"/>
            <w:rFonts w:ascii="Arial" w:eastAsia="Times New Roman" w:hAnsi="Arial" w:cs="Arial"/>
            <w:sz w:val="20"/>
            <w:szCs w:val="20"/>
          </w:rPr>
          <w:t>https://www.mullinslawyers.com.au/directory/employment-update-covid-19-</w:t>
        </w:r>
      </w:hyperlink>
    </w:p>
    <w:p w14:paraId="237A4A1E" w14:textId="77777777" w:rsidR="00567DD4" w:rsidRDefault="00567DD4" w:rsidP="00567DD4">
      <w:pPr>
        <w:pStyle w:val="ListParagraph"/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257A2B28" w14:textId="77777777" w:rsidR="00567DD4" w:rsidRPr="008162FB" w:rsidRDefault="00567DD4" w:rsidP="00567DD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002855"/>
          <w:sz w:val="20"/>
          <w:szCs w:val="20"/>
        </w:rPr>
      </w:pPr>
      <w:r w:rsidRPr="008162FB">
        <w:rPr>
          <w:rFonts w:ascii="Arial" w:eastAsia="Times New Roman" w:hAnsi="Arial" w:cs="Arial"/>
          <w:b/>
          <w:bCs/>
          <w:color w:val="002855"/>
          <w:sz w:val="20"/>
          <w:szCs w:val="20"/>
        </w:rPr>
        <w:t>Employment Update: COVID-19 and the Hospitality Award</w:t>
      </w:r>
    </w:p>
    <w:p w14:paraId="5AD6513B" w14:textId="77777777" w:rsidR="00567DD4" w:rsidRPr="008162FB" w:rsidRDefault="00567DD4" w:rsidP="00567DD4">
      <w:pPr>
        <w:pStyle w:val="ListParagraph"/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hyperlink r:id="rId8" w:history="1">
        <w:r w:rsidRPr="00130209">
          <w:rPr>
            <w:rStyle w:val="Hyperlink"/>
            <w:rFonts w:ascii="Arial" w:eastAsia="Times New Roman" w:hAnsi="Arial" w:cs="Arial"/>
            <w:sz w:val="20"/>
            <w:szCs w:val="20"/>
          </w:rPr>
          <w:t>https://www.mullinslawyers.com.au/directory/employment-update-covid-19-and-the-hospitality-award</w:t>
        </w:r>
      </w:hyperlink>
      <w:r w:rsidRPr="008162FB">
        <w:rPr>
          <w:rFonts w:ascii="Arial" w:eastAsia="Times New Roman" w:hAnsi="Arial" w:cs="Arial"/>
          <w:color w:val="002855"/>
          <w:sz w:val="20"/>
          <w:szCs w:val="20"/>
        </w:rPr>
        <w:t xml:space="preserve"> </w:t>
      </w:r>
    </w:p>
    <w:p w14:paraId="6C45C20F" w14:textId="118E142E" w:rsidR="00836FD3" w:rsidRPr="00836FD3" w:rsidRDefault="00836FD3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64DB3EA5" w14:textId="5B02BA06" w:rsidR="008162FB" w:rsidRDefault="00D62F5A" w:rsidP="00836FD3">
      <w:pPr>
        <w:spacing w:after="0" w:line="240" w:lineRule="auto"/>
        <w:rPr>
          <w:rFonts w:ascii="Arial" w:eastAsia="Times New Roman" w:hAnsi="Arial" w:cs="Arial"/>
          <w:b/>
          <w:bCs/>
          <w:color w:val="00A7B5"/>
        </w:rPr>
      </w:pPr>
      <w:r w:rsidRPr="00836FD3">
        <w:rPr>
          <w:rFonts w:ascii="Arial" w:eastAsia="Times New Roman" w:hAnsi="Arial" w:cs="Arial"/>
          <w:b/>
          <w:bCs/>
          <w:color w:val="00A7B5"/>
        </w:rPr>
        <w:t>Contact us</w:t>
      </w:r>
    </w:p>
    <w:p w14:paraId="12A7686D" w14:textId="77777777" w:rsidR="008162FB" w:rsidRDefault="008162FB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755AD4CF" w14:textId="393AC000" w:rsidR="00D62F5A" w:rsidRDefault="00D62F5A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 w:rsidRPr="00836FD3">
        <w:rPr>
          <w:rFonts w:ascii="Arial" w:eastAsia="Times New Roman" w:hAnsi="Arial" w:cs="Arial"/>
          <w:color w:val="002855"/>
          <w:sz w:val="20"/>
          <w:szCs w:val="20"/>
        </w:rPr>
        <w:t>We are available and committed to assist</w:t>
      </w:r>
      <w:r w:rsidR="008162FB">
        <w:rPr>
          <w:rFonts w:ascii="Arial" w:eastAsia="Times New Roman" w:hAnsi="Arial" w:cs="Arial"/>
          <w:color w:val="002855"/>
          <w:sz w:val="20"/>
          <w:szCs w:val="20"/>
        </w:rPr>
        <w:t>ing</w:t>
      </w:r>
      <w:r w:rsidRPr="00836FD3">
        <w:rPr>
          <w:rFonts w:ascii="Arial" w:eastAsia="Times New Roman" w:hAnsi="Arial" w:cs="Arial"/>
          <w:color w:val="002855"/>
          <w:sz w:val="20"/>
          <w:szCs w:val="20"/>
        </w:rPr>
        <w:t xml:space="preserve"> your business to navigate these unprecedented times</w:t>
      </w:r>
      <w:r w:rsidR="008162FB">
        <w:rPr>
          <w:rFonts w:ascii="Arial" w:eastAsia="Times New Roman" w:hAnsi="Arial" w:cs="Arial"/>
          <w:color w:val="002855"/>
          <w:sz w:val="20"/>
          <w:szCs w:val="20"/>
        </w:rPr>
        <w:t xml:space="preserve">, and we </w:t>
      </w:r>
      <w:r w:rsidRPr="00836FD3">
        <w:rPr>
          <w:rFonts w:ascii="Arial" w:eastAsia="Times New Roman" w:hAnsi="Arial" w:cs="Arial"/>
          <w:color w:val="002855"/>
          <w:sz w:val="20"/>
          <w:szCs w:val="20"/>
        </w:rPr>
        <w:t>encourage you to contact us to discuss your position and the options that are available.</w:t>
      </w:r>
    </w:p>
    <w:p w14:paraId="390A727A" w14:textId="60D68929" w:rsidR="008162FB" w:rsidRDefault="008162FB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2158D7BE" w14:textId="09E00B7D" w:rsidR="008162FB" w:rsidRDefault="008162FB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>
        <w:rPr>
          <w:rFonts w:ascii="Arial" w:eastAsia="Times New Roman" w:hAnsi="Arial" w:cs="Arial"/>
          <w:color w:val="002855"/>
          <w:sz w:val="20"/>
          <w:szCs w:val="20"/>
        </w:rPr>
        <w:t xml:space="preserve">Whilst many things remain uncertain, we are all in this together and we are still here to help you. </w:t>
      </w:r>
    </w:p>
    <w:p w14:paraId="70EFBCA5" w14:textId="77777777" w:rsidR="00836FD3" w:rsidRPr="00836FD3" w:rsidRDefault="00836FD3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</w:p>
    <w:p w14:paraId="0E09E2CC" w14:textId="3B916181" w:rsidR="00D246A5" w:rsidRPr="00836FD3" w:rsidRDefault="00D62F5A" w:rsidP="00836FD3">
      <w:pPr>
        <w:spacing w:after="0" w:line="240" w:lineRule="auto"/>
        <w:rPr>
          <w:rFonts w:ascii="Arial" w:eastAsia="Times New Roman" w:hAnsi="Arial" w:cs="Arial"/>
          <w:color w:val="002855"/>
          <w:sz w:val="20"/>
          <w:szCs w:val="20"/>
        </w:rPr>
      </w:pPr>
      <w:r w:rsidRPr="00836FD3">
        <w:rPr>
          <w:rFonts w:ascii="Arial" w:eastAsia="Times New Roman" w:hAnsi="Arial" w:cs="Arial"/>
          <w:b/>
          <w:bCs/>
          <w:color w:val="00A7B5"/>
          <w:sz w:val="23"/>
          <w:szCs w:val="23"/>
        </w:rPr>
        <w:t>Corina Chen</w:t>
      </w:r>
      <w:r w:rsidRPr="00836FD3">
        <w:rPr>
          <w:rFonts w:ascii="Arial" w:eastAsia="Times New Roman" w:hAnsi="Arial" w:cs="Arial"/>
          <w:b/>
          <w:bCs/>
          <w:color w:val="00A7B5"/>
          <w:sz w:val="23"/>
          <w:szCs w:val="23"/>
        </w:rPr>
        <w:br/>
      </w:r>
      <w:r w:rsidRPr="00836FD3">
        <w:rPr>
          <w:rStyle w:val="Strong"/>
          <w:rFonts w:ascii="Arial" w:eastAsia="Times New Roman" w:hAnsi="Arial" w:cs="Arial"/>
          <w:color w:val="002855"/>
          <w:sz w:val="20"/>
          <w:szCs w:val="20"/>
        </w:rPr>
        <w:t>SENIOR ASSOCIATE</w:t>
      </w:r>
      <w:r w:rsidR="00D246A5" w:rsidRPr="00836FD3">
        <w:rPr>
          <w:rStyle w:val="Strong"/>
          <w:rFonts w:ascii="Arial" w:eastAsia="Times New Roman" w:hAnsi="Arial" w:cs="Arial"/>
          <w:color w:val="002855"/>
          <w:sz w:val="20"/>
          <w:szCs w:val="20"/>
        </w:rPr>
        <w:br/>
        <w:t xml:space="preserve">D </w:t>
      </w:r>
      <w:r w:rsidR="00D246A5" w:rsidRPr="00836FD3">
        <w:rPr>
          <w:rStyle w:val="Strong"/>
          <w:rFonts w:ascii="Arial" w:eastAsia="Times New Roman" w:hAnsi="Arial" w:cs="Arial"/>
          <w:b w:val="0"/>
          <w:bCs w:val="0"/>
          <w:color w:val="002855"/>
          <w:sz w:val="20"/>
          <w:szCs w:val="20"/>
        </w:rPr>
        <w:t>07 3224 0364</w:t>
      </w:r>
      <w:r w:rsidR="00D246A5" w:rsidRPr="00836FD3">
        <w:rPr>
          <w:rStyle w:val="Strong"/>
          <w:rFonts w:ascii="Arial" w:eastAsia="Times New Roman" w:hAnsi="Arial" w:cs="Arial"/>
          <w:color w:val="002855"/>
          <w:sz w:val="20"/>
          <w:szCs w:val="20"/>
        </w:rPr>
        <w:br/>
        <w:t>E</w:t>
      </w:r>
      <w:r w:rsidR="00D246A5" w:rsidRPr="00836FD3">
        <w:rPr>
          <w:rStyle w:val="Strong"/>
          <w:rFonts w:ascii="Arial" w:eastAsia="Times New Roman" w:hAnsi="Arial" w:cs="Arial"/>
          <w:b w:val="0"/>
          <w:bCs w:val="0"/>
          <w:color w:val="002855"/>
          <w:sz w:val="20"/>
          <w:szCs w:val="20"/>
        </w:rPr>
        <w:t xml:space="preserve"> </w:t>
      </w:r>
      <w:hyperlink r:id="rId9" w:history="1">
        <w:r w:rsidR="00D246A5" w:rsidRPr="00836FD3">
          <w:rPr>
            <w:rStyle w:val="Hyperlink"/>
            <w:rFonts w:ascii="Arial" w:eastAsia="Times New Roman" w:hAnsi="Arial" w:cs="Arial"/>
            <w:sz w:val="20"/>
            <w:szCs w:val="20"/>
          </w:rPr>
          <w:t>cchen@mullinslawyers.com.au</w:t>
        </w:r>
      </w:hyperlink>
      <w:r w:rsidR="00D246A5" w:rsidRPr="00836FD3">
        <w:rPr>
          <w:rStyle w:val="Strong"/>
          <w:rFonts w:ascii="Arial" w:eastAsia="Times New Roman" w:hAnsi="Arial" w:cs="Arial"/>
          <w:b w:val="0"/>
          <w:bCs w:val="0"/>
          <w:color w:val="002855"/>
          <w:sz w:val="20"/>
          <w:szCs w:val="20"/>
        </w:rPr>
        <w:t xml:space="preserve"> </w:t>
      </w:r>
      <w:r w:rsidR="00D246A5" w:rsidRPr="00836FD3">
        <w:rPr>
          <w:rStyle w:val="Strong"/>
          <w:rFonts w:ascii="Arial" w:eastAsia="Times New Roman" w:hAnsi="Arial" w:cs="Arial"/>
          <w:color w:val="002855"/>
          <w:sz w:val="20"/>
          <w:szCs w:val="20"/>
        </w:rPr>
        <w:br/>
        <w:t xml:space="preserve">L </w:t>
      </w:r>
      <w:r w:rsidR="00D246A5" w:rsidRPr="00836FD3">
        <w:rPr>
          <w:rStyle w:val="Strong"/>
          <w:rFonts w:ascii="Arial" w:eastAsia="Times New Roman" w:hAnsi="Arial" w:cs="Arial"/>
          <w:b w:val="0"/>
          <w:bCs w:val="0"/>
          <w:color w:val="002855"/>
          <w:sz w:val="20"/>
          <w:szCs w:val="20"/>
        </w:rPr>
        <w:t>linkedin.com/in/</w:t>
      </w:r>
      <w:proofErr w:type="spellStart"/>
      <w:r w:rsidR="00D246A5" w:rsidRPr="00836FD3">
        <w:rPr>
          <w:rStyle w:val="Strong"/>
          <w:rFonts w:ascii="Arial" w:eastAsia="Times New Roman" w:hAnsi="Arial" w:cs="Arial"/>
          <w:b w:val="0"/>
          <w:bCs w:val="0"/>
          <w:color w:val="002855"/>
          <w:sz w:val="20"/>
          <w:szCs w:val="20"/>
        </w:rPr>
        <w:t>corina-chen</w:t>
      </w:r>
      <w:proofErr w:type="spellEnd"/>
      <w:r w:rsidR="00D246A5" w:rsidRPr="00836FD3">
        <w:rPr>
          <w:rStyle w:val="Strong"/>
          <w:rFonts w:ascii="Arial" w:eastAsia="Times New Roman" w:hAnsi="Arial" w:cs="Arial"/>
          <w:b w:val="0"/>
          <w:bCs w:val="0"/>
          <w:color w:val="002855"/>
          <w:sz w:val="20"/>
          <w:szCs w:val="20"/>
        </w:rPr>
        <w:t xml:space="preserve"> </w:t>
      </w:r>
    </w:p>
    <w:sectPr w:rsidR="00D246A5" w:rsidRPr="00836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C1F"/>
    <w:multiLevelType w:val="hybridMultilevel"/>
    <w:tmpl w:val="D02CA44A"/>
    <w:lvl w:ilvl="0" w:tplc="F108679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8A46F3"/>
    <w:multiLevelType w:val="hybridMultilevel"/>
    <w:tmpl w:val="381E3944"/>
    <w:lvl w:ilvl="0" w:tplc="909E85A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10B5B"/>
    <w:multiLevelType w:val="hybridMultilevel"/>
    <w:tmpl w:val="622E1A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404E843A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699B"/>
    <w:multiLevelType w:val="hybridMultilevel"/>
    <w:tmpl w:val="B7AA82F6"/>
    <w:lvl w:ilvl="0" w:tplc="300ED4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A7B5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F0AFF"/>
    <w:multiLevelType w:val="hybridMultilevel"/>
    <w:tmpl w:val="0D28FA72"/>
    <w:lvl w:ilvl="0" w:tplc="0B62F0D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207D3B"/>
    <w:multiLevelType w:val="hybridMultilevel"/>
    <w:tmpl w:val="A6929896"/>
    <w:lvl w:ilvl="0" w:tplc="89002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F0C50"/>
    <w:multiLevelType w:val="hybridMultilevel"/>
    <w:tmpl w:val="BFA24B64"/>
    <w:lvl w:ilvl="0" w:tplc="E24C1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B806A4"/>
    <w:multiLevelType w:val="hybridMultilevel"/>
    <w:tmpl w:val="ACC24444"/>
    <w:lvl w:ilvl="0" w:tplc="171CFB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61B5"/>
    <w:multiLevelType w:val="hybridMultilevel"/>
    <w:tmpl w:val="F3C46A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423DB"/>
    <w:multiLevelType w:val="multilevel"/>
    <w:tmpl w:val="6AD4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80EF3"/>
    <w:multiLevelType w:val="hybridMultilevel"/>
    <w:tmpl w:val="0D28FA72"/>
    <w:lvl w:ilvl="0" w:tplc="0B62F0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5A"/>
    <w:rsid w:val="00014870"/>
    <w:rsid w:val="000570A0"/>
    <w:rsid w:val="000E4CEE"/>
    <w:rsid w:val="001F7F80"/>
    <w:rsid w:val="00223F88"/>
    <w:rsid w:val="003A7D2C"/>
    <w:rsid w:val="003E0FFD"/>
    <w:rsid w:val="004D5465"/>
    <w:rsid w:val="00567DD4"/>
    <w:rsid w:val="005B1A8B"/>
    <w:rsid w:val="00744DAB"/>
    <w:rsid w:val="00751DE5"/>
    <w:rsid w:val="008162FB"/>
    <w:rsid w:val="00836FD3"/>
    <w:rsid w:val="009717DB"/>
    <w:rsid w:val="00A12980"/>
    <w:rsid w:val="00B1415C"/>
    <w:rsid w:val="00D246A5"/>
    <w:rsid w:val="00D55B27"/>
    <w:rsid w:val="00D62F5A"/>
    <w:rsid w:val="00F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D34D"/>
  <w15:chartTrackingRefBased/>
  <w15:docId w15:val="{E9D50907-EC06-45B6-B714-32ED20CB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F5A"/>
    <w:rPr>
      <w:b/>
      <w:bCs/>
    </w:rPr>
  </w:style>
  <w:style w:type="character" w:styleId="Hyperlink">
    <w:name w:val="Hyperlink"/>
    <w:basedOn w:val="DefaultParagraphFont"/>
    <w:uiPriority w:val="99"/>
    <w:unhideWhenUsed/>
    <w:rsid w:val="00D24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6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linslawyers.com.au/directory/employment-update-covid-19-and-the-hospitality-aw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llinslawyers.com.au/directory/employment-update-covid-19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linslawyers.com.a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hen@mullinslawyer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Chen</dc:creator>
  <cp:keywords/>
  <dc:description/>
  <cp:lastModifiedBy>Corina Chen</cp:lastModifiedBy>
  <cp:revision>7</cp:revision>
  <dcterms:created xsi:type="dcterms:W3CDTF">2020-03-31T23:30:00Z</dcterms:created>
  <dcterms:modified xsi:type="dcterms:W3CDTF">2020-04-01T09:12:00Z</dcterms:modified>
</cp:coreProperties>
</file>