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21" w:rsidRPr="002A7BF0" w:rsidRDefault="00F506A3" w:rsidP="00F506A3">
      <w:pPr>
        <w:jc w:val="center"/>
        <w:rPr>
          <w:color w:val="auto"/>
        </w:rPr>
      </w:pPr>
      <w:r>
        <w:rPr>
          <w:noProof/>
          <w:color w:val="auto"/>
          <w:lang w:eastAsia="en-AU"/>
        </w:rPr>
        <w:drawing>
          <wp:inline distT="0" distB="0" distL="0" distR="0">
            <wp:extent cx="2738755" cy="93939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29_QHA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2715" cy="964759"/>
                    </a:xfrm>
                    <a:prstGeom prst="rect">
                      <a:avLst/>
                    </a:prstGeom>
                  </pic:spPr>
                </pic:pic>
              </a:graphicData>
            </a:graphic>
          </wp:inline>
        </w:drawing>
      </w:r>
      <w:r w:rsidR="0034165C">
        <w:rPr>
          <w:color w:val="auto"/>
        </w:rPr>
        <w:t xml:space="preserve">              </w:t>
      </w:r>
      <w:r w:rsidR="0034165C">
        <w:rPr>
          <w:b/>
          <w:bCs/>
          <w:noProof/>
          <w:color w:val="17365D"/>
          <w:lang w:eastAsia="en-AU"/>
        </w:rPr>
        <w:drawing>
          <wp:inline distT="0" distB="0" distL="0" distR="0">
            <wp:extent cx="1372721" cy="933450"/>
            <wp:effectExtent l="0" t="0" r="0" b="0"/>
            <wp:docPr id="2" name="Picture 2" descr="A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06824" cy="956640"/>
                    </a:xfrm>
                    <a:prstGeom prst="rect">
                      <a:avLst/>
                    </a:prstGeom>
                    <a:noFill/>
                    <a:ln>
                      <a:noFill/>
                    </a:ln>
                  </pic:spPr>
                </pic:pic>
              </a:graphicData>
            </a:graphic>
          </wp:inline>
        </w:drawing>
      </w:r>
    </w:p>
    <w:p w:rsidR="00F506A3" w:rsidRDefault="00F506A3">
      <w:pPr>
        <w:rPr>
          <w:color w:val="auto"/>
        </w:rPr>
      </w:pPr>
    </w:p>
    <w:p w:rsidR="00313721" w:rsidRPr="002A7BF0" w:rsidRDefault="00313721">
      <w:pPr>
        <w:rPr>
          <w:color w:val="auto"/>
        </w:rPr>
      </w:pPr>
      <w:r w:rsidRPr="002A7BF0">
        <w:rPr>
          <w:color w:val="auto"/>
        </w:rPr>
        <w:t>This paper proposes some practical guidelines and interpretations related to the new “indoor gathering” requirements so that the AHA can provide greater clarity to its members on protecting their staff and patrons</w:t>
      </w:r>
    </w:p>
    <w:p w:rsidR="00313721" w:rsidRPr="002A7BF0" w:rsidRDefault="00313721">
      <w:pPr>
        <w:rPr>
          <w:color w:val="auto"/>
        </w:rPr>
      </w:pPr>
    </w:p>
    <w:p w:rsidR="00C4582A" w:rsidRPr="002A7BF0" w:rsidRDefault="00C4582A">
      <w:pPr>
        <w:rPr>
          <w:b/>
          <w:color w:val="auto"/>
        </w:rPr>
      </w:pPr>
      <w:r w:rsidRPr="002A7BF0">
        <w:rPr>
          <w:b/>
          <w:color w:val="auto"/>
        </w:rPr>
        <w:t xml:space="preserve">Statement by Prime Minister </w:t>
      </w:r>
    </w:p>
    <w:p w:rsidR="00C4582A" w:rsidRPr="002A7BF0" w:rsidRDefault="00C4582A">
      <w:pPr>
        <w:rPr>
          <w:color w:val="auto"/>
        </w:rPr>
      </w:pPr>
    </w:p>
    <w:p w:rsidR="00DF4172" w:rsidRPr="002A7BF0" w:rsidRDefault="00DF4172">
      <w:pPr>
        <w:rPr>
          <w:color w:val="auto"/>
        </w:rPr>
      </w:pPr>
      <w:r w:rsidRPr="002A7BF0">
        <w:rPr>
          <w:color w:val="auto"/>
        </w:rPr>
        <w:t xml:space="preserve">The Prime Minister announced today that the National Cabinet had mandated today </w:t>
      </w:r>
      <w:r w:rsidR="00C4582A" w:rsidRPr="002A7BF0">
        <w:rPr>
          <w:color w:val="auto"/>
        </w:rPr>
        <w:t>that in regard to indoor gatherings of fewer than 100 people</w:t>
      </w:r>
      <w:r w:rsidRPr="002A7BF0">
        <w:rPr>
          <w:color w:val="auto"/>
        </w:rPr>
        <w:t>:</w:t>
      </w:r>
    </w:p>
    <w:p w:rsidR="00DF4172" w:rsidRPr="002A7BF0" w:rsidRDefault="00DF4172">
      <w:pPr>
        <w:rPr>
          <w:color w:val="auto"/>
        </w:rPr>
      </w:pPr>
    </w:p>
    <w:p w:rsidR="00DF4172" w:rsidRPr="002A7BF0" w:rsidRDefault="00DF4172" w:rsidP="00DF4172">
      <w:pPr>
        <w:pStyle w:val="ListParagraph"/>
        <w:numPr>
          <w:ilvl w:val="0"/>
          <w:numId w:val="3"/>
        </w:numPr>
        <w:rPr>
          <w:color w:val="auto"/>
        </w:rPr>
      </w:pPr>
      <w:r w:rsidRPr="002A7BF0">
        <w:rPr>
          <w:color w:val="auto"/>
        </w:rPr>
        <w:t xml:space="preserve">“Non-essential </w:t>
      </w:r>
      <w:r w:rsidR="008B494A" w:rsidRPr="002A7BF0">
        <w:rPr>
          <w:color w:val="auto"/>
        </w:rPr>
        <w:t xml:space="preserve">indoor </w:t>
      </w:r>
      <w:r w:rsidRPr="002A7BF0">
        <w:rPr>
          <w:color w:val="auto"/>
        </w:rPr>
        <w:t xml:space="preserve">gatherings of </w:t>
      </w:r>
      <w:r w:rsidR="00C4582A" w:rsidRPr="002A7BF0">
        <w:rPr>
          <w:color w:val="auto"/>
        </w:rPr>
        <w:t>greater</w:t>
      </w:r>
      <w:r w:rsidRPr="002A7BF0">
        <w:rPr>
          <w:color w:val="auto"/>
        </w:rPr>
        <w:t xml:space="preserve"> than 100 people </w:t>
      </w:r>
      <w:r w:rsidR="00C4582A" w:rsidRPr="002A7BF0">
        <w:rPr>
          <w:color w:val="auto"/>
        </w:rPr>
        <w:t>will no longer be permitted</w:t>
      </w:r>
      <w:r w:rsidR="007E3F70" w:rsidRPr="002A7BF0">
        <w:rPr>
          <w:color w:val="auto"/>
        </w:rPr>
        <w:t xml:space="preserve"> (including staff)</w:t>
      </w:r>
      <w:r w:rsidRPr="002A7BF0">
        <w:rPr>
          <w:color w:val="auto"/>
        </w:rPr>
        <w:t xml:space="preserve">”, and that </w:t>
      </w:r>
    </w:p>
    <w:p w:rsidR="00DF4172" w:rsidRPr="002A7BF0" w:rsidRDefault="00DF4172" w:rsidP="00DF4172">
      <w:pPr>
        <w:pStyle w:val="ListParagraph"/>
        <w:numPr>
          <w:ilvl w:val="0"/>
          <w:numId w:val="3"/>
        </w:numPr>
        <w:rPr>
          <w:color w:val="auto"/>
        </w:rPr>
      </w:pPr>
      <w:r w:rsidRPr="002A7BF0">
        <w:rPr>
          <w:color w:val="auto"/>
        </w:rPr>
        <w:t xml:space="preserve">In areas where gatherings of 100 people </w:t>
      </w:r>
      <w:r w:rsidR="007E3F70" w:rsidRPr="002A7BF0">
        <w:rPr>
          <w:color w:val="auto"/>
        </w:rPr>
        <w:t xml:space="preserve">(including staff) </w:t>
      </w:r>
      <w:r w:rsidRPr="002A7BF0">
        <w:rPr>
          <w:color w:val="auto"/>
        </w:rPr>
        <w:t xml:space="preserve">or fewer occur, </w:t>
      </w:r>
      <w:r w:rsidR="00C4582A" w:rsidRPr="002A7BF0">
        <w:rPr>
          <w:color w:val="auto"/>
        </w:rPr>
        <w:t xml:space="preserve">“venues should continue to apply </w:t>
      </w:r>
      <w:r w:rsidRPr="002A7BF0">
        <w:rPr>
          <w:color w:val="auto"/>
        </w:rPr>
        <w:t xml:space="preserve">social distancing </w:t>
      </w:r>
      <w:r w:rsidR="00C4582A" w:rsidRPr="002A7BF0">
        <w:rPr>
          <w:color w:val="auto"/>
        </w:rPr>
        <w:t>and hygiene practices – this includes being able to maintain 1.5 metres between patrons</w:t>
      </w:r>
      <w:r w:rsidRPr="002A7BF0">
        <w:rPr>
          <w:color w:val="auto"/>
        </w:rPr>
        <w:t>”</w:t>
      </w:r>
    </w:p>
    <w:p w:rsidR="00C4582A" w:rsidRPr="002A7BF0" w:rsidRDefault="00C4582A" w:rsidP="00C4582A">
      <w:pPr>
        <w:pStyle w:val="ListParagraph"/>
        <w:numPr>
          <w:ilvl w:val="0"/>
          <w:numId w:val="3"/>
        </w:numPr>
        <w:rPr>
          <w:color w:val="auto"/>
        </w:rPr>
      </w:pPr>
      <w:r w:rsidRPr="002A7BF0">
        <w:rPr>
          <w:color w:val="auto"/>
        </w:rPr>
        <w:t>This may require significant change to the operation of some venues, such as reducing the maximum capacity or increasing the space available.</w:t>
      </w:r>
    </w:p>
    <w:p w:rsidR="00ED7470" w:rsidRPr="002A7BF0" w:rsidRDefault="00ED7470" w:rsidP="00ED7470">
      <w:pPr>
        <w:pStyle w:val="ListParagraph"/>
        <w:numPr>
          <w:ilvl w:val="0"/>
          <w:numId w:val="3"/>
        </w:numPr>
        <w:rPr>
          <w:color w:val="auto"/>
        </w:rPr>
      </w:pPr>
      <w:r w:rsidRPr="002A7BF0">
        <w:rPr>
          <w:color w:val="auto"/>
        </w:rPr>
        <w:t>“Hand hygiene products and suitable waste receptacles need to be available, with frequent cleaning and waste disposal.”</w:t>
      </w:r>
    </w:p>
    <w:p w:rsidR="00C4582A" w:rsidRPr="002A7BF0" w:rsidRDefault="00C4582A" w:rsidP="00C4582A">
      <w:pPr>
        <w:pStyle w:val="ListParagraph"/>
        <w:numPr>
          <w:ilvl w:val="0"/>
          <w:numId w:val="3"/>
        </w:numPr>
        <w:rPr>
          <w:color w:val="auto"/>
        </w:rPr>
      </w:pPr>
      <w:r w:rsidRPr="002A7BF0">
        <w:rPr>
          <w:color w:val="auto"/>
        </w:rPr>
        <w:t>The states and territories will give further consideration to practical guidance and rules relating to the above.</w:t>
      </w:r>
    </w:p>
    <w:p w:rsidR="00313721" w:rsidRPr="002A7BF0" w:rsidRDefault="00313721">
      <w:pPr>
        <w:rPr>
          <w:color w:val="auto"/>
        </w:rPr>
      </w:pPr>
    </w:p>
    <w:p w:rsidR="00C4582A" w:rsidRPr="002A7BF0" w:rsidRDefault="00C4582A">
      <w:pPr>
        <w:rPr>
          <w:b/>
          <w:color w:val="auto"/>
        </w:rPr>
      </w:pPr>
      <w:r w:rsidRPr="002A7BF0">
        <w:rPr>
          <w:b/>
          <w:color w:val="auto"/>
        </w:rPr>
        <w:t xml:space="preserve">AHA suggested guidelines </w:t>
      </w:r>
    </w:p>
    <w:p w:rsidR="00C4582A" w:rsidRPr="002A7BF0" w:rsidRDefault="00C4582A">
      <w:pPr>
        <w:rPr>
          <w:color w:val="auto"/>
        </w:rPr>
      </w:pPr>
    </w:p>
    <w:p w:rsidR="00E575B5" w:rsidRPr="002A7BF0" w:rsidRDefault="008B494A">
      <w:pPr>
        <w:rPr>
          <w:color w:val="auto"/>
        </w:rPr>
      </w:pPr>
      <w:r w:rsidRPr="002A7BF0">
        <w:rPr>
          <w:color w:val="auto"/>
        </w:rPr>
        <w:t xml:space="preserve">The AHA understands that its members would be subject to the above.  </w:t>
      </w:r>
      <w:r w:rsidR="00DF4172" w:rsidRPr="002A7BF0">
        <w:rPr>
          <w:color w:val="auto"/>
        </w:rPr>
        <w:t>The AHA seeks further clarification as to the interpretation and practical application of this new mandate.  So as to assist, proposed definitions and case studies are set out below.</w:t>
      </w:r>
      <w:r w:rsidR="00E575B5" w:rsidRPr="002A7BF0">
        <w:rPr>
          <w:color w:val="auto"/>
        </w:rPr>
        <w:t xml:space="preserve">  </w:t>
      </w:r>
    </w:p>
    <w:p w:rsidR="00E575B5" w:rsidRPr="002A7BF0" w:rsidRDefault="00E575B5">
      <w:pPr>
        <w:rPr>
          <w:color w:val="auto"/>
        </w:rPr>
      </w:pPr>
    </w:p>
    <w:p w:rsidR="00E575B5" w:rsidRPr="002A7BF0" w:rsidRDefault="00E575B5">
      <w:pPr>
        <w:rPr>
          <w:b/>
          <w:color w:val="auto"/>
        </w:rPr>
      </w:pPr>
      <w:r w:rsidRPr="002A7BF0">
        <w:rPr>
          <w:b/>
          <w:color w:val="auto"/>
        </w:rPr>
        <w:t xml:space="preserve">Core principles </w:t>
      </w:r>
    </w:p>
    <w:p w:rsidR="00E575B5" w:rsidRPr="002A7BF0" w:rsidRDefault="00E575B5">
      <w:pPr>
        <w:rPr>
          <w:color w:val="auto"/>
        </w:rPr>
      </w:pPr>
    </w:p>
    <w:p w:rsidR="00DF4172" w:rsidRPr="002A7BF0" w:rsidRDefault="00E575B5">
      <w:pPr>
        <w:rPr>
          <w:color w:val="auto"/>
        </w:rPr>
      </w:pPr>
      <w:r w:rsidRPr="002A7BF0">
        <w:rPr>
          <w:color w:val="auto"/>
        </w:rPr>
        <w:t>It is understood that as we move through the cycle of restrictions, the guidelines need to have core principles that stay in place, irrespective of the number (e.g. 100 indoor) moving up or down.</w:t>
      </w:r>
      <w:r w:rsidR="0025710D" w:rsidRPr="002A7BF0">
        <w:rPr>
          <w:color w:val="auto"/>
        </w:rPr>
        <w:t xml:space="preserve">  For example, if the number for indoor gatherings is reduced to five (5), we need to ensure that accommodation hotels can check in and check out guests, whilst at all times encouraging social distancing.</w:t>
      </w:r>
    </w:p>
    <w:p w:rsidR="00DF4172" w:rsidRPr="002A7BF0" w:rsidRDefault="00DF4172">
      <w:pPr>
        <w:rPr>
          <w:color w:val="auto"/>
        </w:rPr>
      </w:pPr>
    </w:p>
    <w:p w:rsidR="00C054CD" w:rsidRPr="002A7BF0" w:rsidRDefault="00C054CD">
      <w:pPr>
        <w:rPr>
          <w:b/>
          <w:color w:val="auto"/>
        </w:rPr>
      </w:pPr>
      <w:r w:rsidRPr="002A7BF0">
        <w:rPr>
          <w:b/>
          <w:color w:val="auto"/>
        </w:rPr>
        <w:t xml:space="preserve">Social distancing </w:t>
      </w:r>
    </w:p>
    <w:p w:rsidR="00C054CD" w:rsidRPr="002A7BF0" w:rsidRDefault="00C054CD">
      <w:pPr>
        <w:rPr>
          <w:color w:val="auto"/>
        </w:rPr>
      </w:pPr>
    </w:p>
    <w:p w:rsidR="00C054CD" w:rsidRPr="002A7BF0" w:rsidRDefault="00C054CD">
      <w:pPr>
        <w:rPr>
          <w:color w:val="auto"/>
        </w:rPr>
      </w:pPr>
      <w:r w:rsidRPr="002A7BF0">
        <w:rPr>
          <w:color w:val="auto"/>
        </w:rPr>
        <w:t xml:space="preserve">The AHA is advising its members to advise their </w:t>
      </w:r>
      <w:r w:rsidR="002C7631" w:rsidRPr="002A7BF0">
        <w:rPr>
          <w:color w:val="auto"/>
        </w:rPr>
        <w:t>patrons</w:t>
      </w:r>
      <w:r w:rsidRPr="002A7BF0">
        <w:rPr>
          <w:color w:val="auto"/>
        </w:rPr>
        <w:t xml:space="preserve"> that social distancing of 1.5 metres is recommended where practical.  Each venue is different and will require their own practical solutions.  Such solutions might include one or some of the following:</w:t>
      </w:r>
    </w:p>
    <w:p w:rsidR="00C054CD" w:rsidRPr="002A7BF0" w:rsidRDefault="00C054CD">
      <w:pPr>
        <w:rPr>
          <w:color w:val="auto"/>
        </w:rPr>
      </w:pPr>
    </w:p>
    <w:p w:rsidR="00C054CD" w:rsidRPr="002A7BF0" w:rsidRDefault="00C054CD" w:rsidP="00C054CD">
      <w:pPr>
        <w:pStyle w:val="ListParagraph"/>
        <w:numPr>
          <w:ilvl w:val="0"/>
          <w:numId w:val="5"/>
        </w:numPr>
        <w:rPr>
          <w:color w:val="auto"/>
        </w:rPr>
      </w:pPr>
      <w:r w:rsidRPr="002A7BF0">
        <w:rPr>
          <w:color w:val="auto"/>
        </w:rPr>
        <w:t>Signs in prominent locations advising “Please assist with Social Distancing of 1.5m where practical”</w:t>
      </w:r>
      <w:r w:rsidR="00152DFC" w:rsidRPr="002A7BF0">
        <w:rPr>
          <w:color w:val="auto"/>
        </w:rPr>
        <w:t>, e.g. placed on service counters, in front of televisions</w:t>
      </w:r>
    </w:p>
    <w:p w:rsidR="00C054CD" w:rsidRDefault="00C054CD" w:rsidP="00C054CD">
      <w:pPr>
        <w:pStyle w:val="ListParagraph"/>
        <w:numPr>
          <w:ilvl w:val="0"/>
          <w:numId w:val="5"/>
        </w:numPr>
        <w:rPr>
          <w:color w:val="auto"/>
        </w:rPr>
      </w:pPr>
      <w:r w:rsidRPr="002A7BF0">
        <w:rPr>
          <w:color w:val="auto"/>
        </w:rPr>
        <w:t xml:space="preserve">Limiting density in smaller bars </w:t>
      </w:r>
      <w:r w:rsidR="00152DFC" w:rsidRPr="002A7BF0">
        <w:rPr>
          <w:color w:val="auto"/>
        </w:rPr>
        <w:t xml:space="preserve">to ensure social distancing can be met where practical </w:t>
      </w:r>
    </w:p>
    <w:p w:rsidR="00B36CC3" w:rsidRPr="002A7BF0" w:rsidRDefault="00B36CC3" w:rsidP="00C054CD">
      <w:pPr>
        <w:pStyle w:val="ListParagraph"/>
        <w:numPr>
          <w:ilvl w:val="0"/>
          <w:numId w:val="5"/>
        </w:numPr>
        <w:rPr>
          <w:color w:val="auto"/>
        </w:rPr>
      </w:pPr>
      <w:r>
        <w:rPr>
          <w:color w:val="auto"/>
        </w:rPr>
        <w:t>Limit the entertainment of bands/DJs, which would normally encourage closer contact</w:t>
      </w:r>
    </w:p>
    <w:p w:rsidR="00C054CD" w:rsidRPr="002A7BF0" w:rsidRDefault="00C054CD">
      <w:pPr>
        <w:rPr>
          <w:color w:val="auto"/>
        </w:rPr>
      </w:pPr>
    </w:p>
    <w:p w:rsidR="00DF4172" w:rsidRPr="002A7BF0" w:rsidRDefault="00DF4172">
      <w:pPr>
        <w:rPr>
          <w:b/>
          <w:color w:val="auto"/>
        </w:rPr>
      </w:pPr>
      <w:r w:rsidRPr="002A7BF0">
        <w:rPr>
          <w:b/>
          <w:color w:val="auto"/>
        </w:rPr>
        <w:t>Multi Venue Hotels</w:t>
      </w:r>
    </w:p>
    <w:p w:rsidR="00DF4172" w:rsidRPr="002A7BF0" w:rsidRDefault="00DF4172">
      <w:pPr>
        <w:rPr>
          <w:color w:val="auto"/>
        </w:rPr>
      </w:pPr>
    </w:p>
    <w:p w:rsidR="008B494A" w:rsidRPr="002A7BF0" w:rsidRDefault="008B494A">
      <w:pPr>
        <w:rPr>
          <w:color w:val="auto"/>
          <w:u w:val="single"/>
        </w:rPr>
      </w:pPr>
      <w:r w:rsidRPr="002A7BF0">
        <w:rPr>
          <w:color w:val="auto"/>
          <w:u w:val="single"/>
        </w:rPr>
        <w:t xml:space="preserve">Background </w:t>
      </w:r>
    </w:p>
    <w:p w:rsidR="00DF4172" w:rsidRPr="002A7BF0" w:rsidRDefault="00DF4172">
      <w:pPr>
        <w:rPr>
          <w:color w:val="auto"/>
        </w:rPr>
      </w:pPr>
      <w:r w:rsidRPr="002A7BF0">
        <w:rPr>
          <w:color w:val="auto"/>
        </w:rPr>
        <w:t>Many hotels comprise a range of different rooms and spaces, e.g. public bar, gaming room restaurant, Sports bar, function rooms.  The AHA proposes that the following guideline be issued:</w:t>
      </w:r>
    </w:p>
    <w:p w:rsidR="008B494A" w:rsidRPr="002A7BF0" w:rsidRDefault="008B494A">
      <w:pPr>
        <w:rPr>
          <w:color w:val="auto"/>
        </w:rPr>
      </w:pPr>
    </w:p>
    <w:p w:rsidR="008B494A" w:rsidRPr="002A7BF0" w:rsidRDefault="008B494A">
      <w:pPr>
        <w:rPr>
          <w:color w:val="auto"/>
          <w:u w:val="single"/>
        </w:rPr>
      </w:pPr>
      <w:r w:rsidRPr="002A7BF0">
        <w:rPr>
          <w:color w:val="auto"/>
          <w:u w:val="single"/>
        </w:rPr>
        <w:t xml:space="preserve">Proposed definition </w:t>
      </w:r>
    </w:p>
    <w:p w:rsidR="008B494A" w:rsidRPr="002A7BF0" w:rsidRDefault="008B494A">
      <w:pPr>
        <w:rPr>
          <w:color w:val="auto"/>
        </w:rPr>
      </w:pPr>
      <w:r w:rsidRPr="002A7BF0">
        <w:rPr>
          <w:color w:val="auto"/>
        </w:rPr>
        <w:t>“An indoor gathering refers to a gathering within a single enclosed area (i.e. an area or room that is or are substantially enclosed by a roof or walls, regardless of whether the roof or walls are permanent, temporary or closed)”</w:t>
      </w:r>
    </w:p>
    <w:p w:rsidR="008B494A" w:rsidRPr="002A7BF0" w:rsidRDefault="008B494A">
      <w:pPr>
        <w:rPr>
          <w:color w:val="auto"/>
        </w:rPr>
      </w:pPr>
    </w:p>
    <w:p w:rsidR="008B494A" w:rsidRPr="002A7BF0" w:rsidRDefault="008B494A">
      <w:pPr>
        <w:rPr>
          <w:color w:val="auto"/>
          <w:u w:val="single"/>
        </w:rPr>
      </w:pPr>
      <w:r w:rsidRPr="002A7BF0">
        <w:rPr>
          <w:color w:val="auto"/>
          <w:u w:val="single"/>
        </w:rPr>
        <w:t>Example</w:t>
      </w:r>
    </w:p>
    <w:p w:rsidR="008B494A" w:rsidRPr="002A7BF0" w:rsidRDefault="008B494A">
      <w:pPr>
        <w:rPr>
          <w:color w:val="auto"/>
        </w:rPr>
      </w:pPr>
      <w:r w:rsidRPr="002A7BF0">
        <w:rPr>
          <w:color w:val="auto"/>
        </w:rPr>
        <w:t>The ABC Hotel has three rooms</w:t>
      </w:r>
      <w:r w:rsidR="00C054CD" w:rsidRPr="002A7BF0">
        <w:rPr>
          <w:color w:val="auto"/>
        </w:rPr>
        <w:t>:</w:t>
      </w:r>
    </w:p>
    <w:p w:rsidR="008B494A" w:rsidRPr="002A7BF0" w:rsidRDefault="008B494A">
      <w:pPr>
        <w:rPr>
          <w:color w:val="auto"/>
        </w:rPr>
      </w:pPr>
    </w:p>
    <w:tbl>
      <w:tblPr>
        <w:tblStyle w:val="TableGrid"/>
        <w:tblW w:w="0" w:type="auto"/>
        <w:tblLook w:val="04A0" w:firstRow="1" w:lastRow="0" w:firstColumn="1" w:lastColumn="0" w:noHBand="0" w:noVBand="1"/>
      </w:tblPr>
      <w:tblGrid>
        <w:gridCol w:w="3252"/>
        <w:gridCol w:w="2882"/>
        <w:gridCol w:w="2882"/>
      </w:tblGrid>
      <w:tr w:rsidR="008B494A" w:rsidRPr="002A7BF0" w:rsidTr="008B494A">
        <w:tc>
          <w:tcPr>
            <w:tcW w:w="3252" w:type="dxa"/>
          </w:tcPr>
          <w:p w:rsidR="008B494A" w:rsidRPr="002A7BF0" w:rsidRDefault="008B494A" w:rsidP="008B494A">
            <w:pPr>
              <w:jc w:val="center"/>
              <w:rPr>
                <w:b/>
                <w:color w:val="auto"/>
              </w:rPr>
            </w:pPr>
            <w:r w:rsidRPr="002A7BF0">
              <w:rPr>
                <w:b/>
                <w:color w:val="auto"/>
              </w:rPr>
              <w:t>Room</w:t>
            </w:r>
          </w:p>
        </w:tc>
        <w:tc>
          <w:tcPr>
            <w:tcW w:w="2882" w:type="dxa"/>
          </w:tcPr>
          <w:p w:rsidR="008B494A" w:rsidRPr="002A7BF0" w:rsidRDefault="008B494A" w:rsidP="008B494A">
            <w:pPr>
              <w:jc w:val="center"/>
              <w:rPr>
                <w:b/>
                <w:color w:val="auto"/>
              </w:rPr>
            </w:pPr>
            <w:r w:rsidRPr="002A7BF0">
              <w:rPr>
                <w:b/>
                <w:color w:val="auto"/>
              </w:rPr>
              <w:t>Licensed capacity</w:t>
            </w:r>
          </w:p>
        </w:tc>
        <w:tc>
          <w:tcPr>
            <w:tcW w:w="2882" w:type="dxa"/>
          </w:tcPr>
          <w:p w:rsidR="008B494A" w:rsidRPr="002A7BF0" w:rsidRDefault="008B494A" w:rsidP="008B494A">
            <w:pPr>
              <w:jc w:val="center"/>
              <w:rPr>
                <w:b/>
                <w:color w:val="auto"/>
              </w:rPr>
            </w:pPr>
            <w:r w:rsidRPr="002A7BF0">
              <w:rPr>
                <w:b/>
                <w:color w:val="auto"/>
              </w:rPr>
              <w:t>New capacity</w:t>
            </w:r>
            <w:r w:rsidR="00B36CC3">
              <w:rPr>
                <w:b/>
                <w:color w:val="auto"/>
              </w:rPr>
              <w:t xml:space="preserve"> (</w:t>
            </w:r>
            <w:proofErr w:type="spellStart"/>
            <w:r w:rsidR="00B36CC3">
              <w:rPr>
                <w:b/>
                <w:color w:val="auto"/>
              </w:rPr>
              <w:t>inc</w:t>
            </w:r>
            <w:proofErr w:type="spellEnd"/>
            <w:r w:rsidR="00B36CC3">
              <w:rPr>
                <w:b/>
                <w:color w:val="auto"/>
              </w:rPr>
              <w:t xml:space="preserve"> staff)</w:t>
            </w:r>
          </w:p>
        </w:tc>
      </w:tr>
      <w:tr w:rsidR="008B494A" w:rsidRPr="002A7BF0" w:rsidTr="008B494A">
        <w:tc>
          <w:tcPr>
            <w:tcW w:w="3252" w:type="dxa"/>
          </w:tcPr>
          <w:p w:rsidR="008B494A" w:rsidRPr="002A7BF0" w:rsidRDefault="008B494A" w:rsidP="008B494A">
            <w:pPr>
              <w:rPr>
                <w:color w:val="auto"/>
              </w:rPr>
            </w:pPr>
            <w:r w:rsidRPr="002A7BF0">
              <w:rPr>
                <w:color w:val="auto"/>
              </w:rPr>
              <w:t>Public bar</w:t>
            </w:r>
          </w:p>
        </w:tc>
        <w:tc>
          <w:tcPr>
            <w:tcW w:w="2882" w:type="dxa"/>
          </w:tcPr>
          <w:p w:rsidR="008B494A" w:rsidRPr="002A7BF0" w:rsidRDefault="008B494A" w:rsidP="00C054CD">
            <w:pPr>
              <w:jc w:val="right"/>
              <w:rPr>
                <w:color w:val="auto"/>
              </w:rPr>
            </w:pPr>
            <w:r w:rsidRPr="002A7BF0">
              <w:rPr>
                <w:color w:val="auto"/>
              </w:rPr>
              <w:t>200</w:t>
            </w:r>
          </w:p>
        </w:tc>
        <w:tc>
          <w:tcPr>
            <w:tcW w:w="2882" w:type="dxa"/>
          </w:tcPr>
          <w:p w:rsidR="008B494A" w:rsidRPr="002A7BF0" w:rsidRDefault="008B494A" w:rsidP="00C054CD">
            <w:pPr>
              <w:jc w:val="right"/>
              <w:rPr>
                <w:color w:val="auto"/>
              </w:rPr>
            </w:pPr>
            <w:r w:rsidRPr="002A7BF0">
              <w:rPr>
                <w:color w:val="auto"/>
              </w:rPr>
              <w:t>100</w:t>
            </w:r>
          </w:p>
        </w:tc>
      </w:tr>
      <w:tr w:rsidR="008B494A" w:rsidRPr="002A7BF0" w:rsidTr="008B494A">
        <w:tc>
          <w:tcPr>
            <w:tcW w:w="3252" w:type="dxa"/>
          </w:tcPr>
          <w:p w:rsidR="008B494A" w:rsidRPr="002A7BF0" w:rsidRDefault="002C7631">
            <w:pPr>
              <w:rPr>
                <w:color w:val="auto"/>
              </w:rPr>
            </w:pPr>
            <w:r w:rsidRPr="002A7BF0">
              <w:rPr>
                <w:color w:val="auto"/>
              </w:rPr>
              <w:t>Function</w:t>
            </w:r>
            <w:r w:rsidR="008B494A" w:rsidRPr="002A7BF0">
              <w:rPr>
                <w:color w:val="auto"/>
              </w:rPr>
              <w:t xml:space="preserve"> Room</w:t>
            </w:r>
          </w:p>
        </w:tc>
        <w:tc>
          <w:tcPr>
            <w:tcW w:w="2882" w:type="dxa"/>
          </w:tcPr>
          <w:p w:rsidR="008B494A" w:rsidRPr="002A7BF0" w:rsidRDefault="008B494A" w:rsidP="00C054CD">
            <w:pPr>
              <w:jc w:val="right"/>
              <w:rPr>
                <w:color w:val="auto"/>
              </w:rPr>
            </w:pPr>
            <w:r w:rsidRPr="002A7BF0">
              <w:rPr>
                <w:color w:val="auto"/>
              </w:rPr>
              <w:t>120</w:t>
            </w:r>
          </w:p>
        </w:tc>
        <w:tc>
          <w:tcPr>
            <w:tcW w:w="2882" w:type="dxa"/>
          </w:tcPr>
          <w:p w:rsidR="008B494A" w:rsidRPr="002A7BF0" w:rsidRDefault="008B494A" w:rsidP="00C054CD">
            <w:pPr>
              <w:jc w:val="right"/>
              <w:rPr>
                <w:color w:val="auto"/>
              </w:rPr>
            </w:pPr>
            <w:r w:rsidRPr="002A7BF0">
              <w:rPr>
                <w:color w:val="auto"/>
              </w:rPr>
              <w:t>100</w:t>
            </w:r>
          </w:p>
        </w:tc>
      </w:tr>
      <w:tr w:rsidR="008B494A" w:rsidRPr="002A7BF0" w:rsidTr="008B494A">
        <w:tc>
          <w:tcPr>
            <w:tcW w:w="3252" w:type="dxa"/>
          </w:tcPr>
          <w:p w:rsidR="008B494A" w:rsidRPr="002A7BF0" w:rsidRDefault="008B494A">
            <w:pPr>
              <w:rPr>
                <w:color w:val="auto"/>
              </w:rPr>
            </w:pPr>
            <w:r w:rsidRPr="002A7BF0">
              <w:rPr>
                <w:color w:val="auto"/>
              </w:rPr>
              <w:t xml:space="preserve">Restaurant </w:t>
            </w:r>
          </w:p>
        </w:tc>
        <w:tc>
          <w:tcPr>
            <w:tcW w:w="2882" w:type="dxa"/>
          </w:tcPr>
          <w:p w:rsidR="008B494A" w:rsidRPr="002A7BF0" w:rsidRDefault="008B494A" w:rsidP="00C054CD">
            <w:pPr>
              <w:jc w:val="right"/>
              <w:rPr>
                <w:color w:val="auto"/>
              </w:rPr>
            </w:pPr>
            <w:r w:rsidRPr="002A7BF0">
              <w:rPr>
                <w:color w:val="auto"/>
              </w:rPr>
              <w:t>80</w:t>
            </w:r>
          </w:p>
        </w:tc>
        <w:tc>
          <w:tcPr>
            <w:tcW w:w="2882" w:type="dxa"/>
          </w:tcPr>
          <w:p w:rsidR="008B494A" w:rsidRPr="002A7BF0" w:rsidRDefault="008B494A" w:rsidP="00C054CD">
            <w:pPr>
              <w:jc w:val="right"/>
              <w:rPr>
                <w:color w:val="auto"/>
              </w:rPr>
            </w:pPr>
            <w:r w:rsidRPr="002A7BF0">
              <w:rPr>
                <w:color w:val="auto"/>
              </w:rPr>
              <w:t>80</w:t>
            </w:r>
          </w:p>
        </w:tc>
      </w:tr>
      <w:tr w:rsidR="00C054CD" w:rsidRPr="002A7BF0" w:rsidTr="00C054CD">
        <w:trPr>
          <w:trHeight w:val="231"/>
        </w:trPr>
        <w:tc>
          <w:tcPr>
            <w:tcW w:w="3252" w:type="dxa"/>
          </w:tcPr>
          <w:p w:rsidR="00C054CD" w:rsidRPr="002A7BF0" w:rsidRDefault="00C054CD">
            <w:pPr>
              <w:rPr>
                <w:b/>
                <w:color w:val="auto"/>
              </w:rPr>
            </w:pPr>
            <w:r w:rsidRPr="002A7BF0">
              <w:rPr>
                <w:b/>
                <w:color w:val="auto"/>
              </w:rPr>
              <w:t xml:space="preserve">TOTAL </w:t>
            </w:r>
          </w:p>
        </w:tc>
        <w:tc>
          <w:tcPr>
            <w:tcW w:w="2882" w:type="dxa"/>
          </w:tcPr>
          <w:p w:rsidR="00C054CD" w:rsidRPr="002A7BF0" w:rsidRDefault="00C054CD" w:rsidP="00C054CD">
            <w:pPr>
              <w:jc w:val="right"/>
              <w:rPr>
                <w:b/>
                <w:color w:val="auto"/>
              </w:rPr>
            </w:pPr>
            <w:r w:rsidRPr="002A7BF0">
              <w:rPr>
                <w:b/>
                <w:color w:val="auto"/>
              </w:rPr>
              <w:t>400</w:t>
            </w:r>
          </w:p>
        </w:tc>
        <w:tc>
          <w:tcPr>
            <w:tcW w:w="2882" w:type="dxa"/>
          </w:tcPr>
          <w:p w:rsidR="00C054CD" w:rsidRPr="002A7BF0" w:rsidRDefault="00C054CD" w:rsidP="00C054CD">
            <w:pPr>
              <w:jc w:val="right"/>
              <w:rPr>
                <w:b/>
                <w:color w:val="auto"/>
              </w:rPr>
            </w:pPr>
            <w:r w:rsidRPr="002A7BF0">
              <w:rPr>
                <w:b/>
                <w:color w:val="auto"/>
              </w:rPr>
              <w:t>280</w:t>
            </w:r>
          </w:p>
        </w:tc>
      </w:tr>
    </w:tbl>
    <w:p w:rsidR="008B494A" w:rsidRPr="002A7BF0" w:rsidRDefault="008B494A">
      <w:pPr>
        <w:rPr>
          <w:color w:val="auto"/>
        </w:rPr>
      </w:pPr>
    </w:p>
    <w:p w:rsidR="008B494A" w:rsidRPr="002A7BF0" w:rsidRDefault="008B494A">
      <w:pPr>
        <w:rPr>
          <w:b/>
          <w:color w:val="auto"/>
        </w:rPr>
      </w:pPr>
      <w:r w:rsidRPr="002A7BF0">
        <w:rPr>
          <w:b/>
          <w:color w:val="auto"/>
        </w:rPr>
        <w:t>Beer gardens and roof top bars</w:t>
      </w:r>
    </w:p>
    <w:p w:rsidR="008B494A" w:rsidRPr="002A7BF0" w:rsidRDefault="008B494A">
      <w:pPr>
        <w:rPr>
          <w:color w:val="auto"/>
        </w:rPr>
      </w:pPr>
    </w:p>
    <w:p w:rsidR="008B494A" w:rsidRPr="002A7BF0" w:rsidRDefault="008B494A">
      <w:pPr>
        <w:rPr>
          <w:color w:val="auto"/>
          <w:u w:val="single"/>
        </w:rPr>
      </w:pPr>
      <w:r w:rsidRPr="002A7BF0">
        <w:rPr>
          <w:color w:val="auto"/>
          <w:u w:val="single"/>
        </w:rPr>
        <w:t xml:space="preserve">Proposed definition </w:t>
      </w:r>
    </w:p>
    <w:p w:rsidR="008B494A" w:rsidRPr="002A7BF0" w:rsidRDefault="008B494A">
      <w:pPr>
        <w:rPr>
          <w:color w:val="auto"/>
        </w:rPr>
      </w:pPr>
      <w:r w:rsidRPr="002A7BF0">
        <w:rPr>
          <w:color w:val="auto"/>
        </w:rPr>
        <w:t>AHA proposes that beer gardens and roof top</w:t>
      </w:r>
      <w:r w:rsidR="00152DFC" w:rsidRPr="002A7BF0">
        <w:rPr>
          <w:color w:val="auto"/>
        </w:rPr>
        <w:t xml:space="preserve"> bars</w:t>
      </w:r>
      <w:r w:rsidRPr="002A7BF0">
        <w:rPr>
          <w:color w:val="auto"/>
        </w:rPr>
        <w:t xml:space="preserve"> are treated within the current definition for Mass Gatherings of 500 people or more.  AHA proposes beer gardens and roof top bars are defined as “those areas within a licensed premises that do not have a roof over the substantial part of the premises”.  </w:t>
      </w:r>
    </w:p>
    <w:p w:rsidR="008B494A" w:rsidRPr="002A7BF0" w:rsidRDefault="008B494A">
      <w:pPr>
        <w:rPr>
          <w:color w:val="auto"/>
        </w:rPr>
      </w:pPr>
    </w:p>
    <w:p w:rsidR="008B494A" w:rsidRPr="002A7BF0" w:rsidRDefault="008B494A">
      <w:pPr>
        <w:rPr>
          <w:color w:val="auto"/>
          <w:u w:val="single"/>
        </w:rPr>
      </w:pPr>
      <w:r w:rsidRPr="002A7BF0">
        <w:rPr>
          <w:color w:val="auto"/>
          <w:u w:val="single"/>
        </w:rPr>
        <w:t xml:space="preserve">Example </w:t>
      </w:r>
    </w:p>
    <w:p w:rsidR="008B494A" w:rsidRPr="002A7BF0" w:rsidRDefault="008B494A">
      <w:pPr>
        <w:rPr>
          <w:color w:val="auto"/>
        </w:rPr>
      </w:pPr>
      <w:r w:rsidRPr="002A7BF0">
        <w:rPr>
          <w:color w:val="auto"/>
        </w:rPr>
        <w:t>E.g. the XYZ Hotel has a beer garden with a licensed capacity of 200 people.  There is no roof except over the bar service areas</w:t>
      </w:r>
      <w:r w:rsidR="00152DFC" w:rsidRPr="002A7BF0">
        <w:rPr>
          <w:color w:val="auto"/>
        </w:rPr>
        <w:t xml:space="preserve"> and there are is only one external wall with fencing around the perimeter</w:t>
      </w:r>
      <w:r w:rsidRPr="002A7BF0">
        <w:rPr>
          <w:color w:val="auto"/>
        </w:rPr>
        <w:t>.  The XYZ Hotel would be able to retain having 200 people in attendance, on the basis that appropriate social distancing can be achieved where practical.</w:t>
      </w:r>
    </w:p>
    <w:p w:rsidR="00DF4172" w:rsidRPr="002A7BF0" w:rsidRDefault="00DF4172">
      <w:pPr>
        <w:rPr>
          <w:color w:val="auto"/>
        </w:rPr>
      </w:pPr>
    </w:p>
    <w:p w:rsidR="00C4582A" w:rsidRPr="002A7BF0" w:rsidRDefault="00C4582A" w:rsidP="00C4582A">
      <w:pPr>
        <w:rPr>
          <w:b/>
          <w:color w:val="auto"/>
        </w:rPr>
      </w:pPr>
      <w:r w:rsidRPr="002A7BF0">
        <w:rPr>
          <w:b/>
          <w:color w:val="auto"/>
        </w:rPr>
        <w:lastRenderedPageBreak/>
        <w:t xml:space="preserve">Gaming Room </w:t>
      </w:r>
    </w:p>
    <w:p w:rsidR="00C4582A" w:rsidRPr="002A7BF0" w:rsidRDefault="00C4582A" w:rsidP="00C4582A">
      <w:pPr>
        <w:rPr>
          <w:color w:val="auto"/>
        </w:rPr>
      </w:pPr>
    </w:p>
    <w:p w:rsidR="00C4582A" w:rsidRPr="002A7BF0" w:rsidRDefault="00C4582A" w:rsidP="00C4582A">
      <w:pPr>
        <w:rPr>
          <w:color w:val="auto"/>
          <w:u w:val="single"/>
        </w:rPr>
      </w:pPr>
      <w:r w:rsidRPr="002A7BF0">
        <w:rPr>
          <w:color w:val="auto"/>
          <w:u w:val="single"/>
        </w:rPr>
        <w:t xml:space="preserve">Background </w:t>
      </w:r>
    </w:p>
    <w:p w:rsidR="00C4582A" w:rsidRPr="002A7BF0" w:rsidRDefault="00C4582A" w:rsidP="00C4582A">
      <w:pPr>
        <w:rPr>
          <w:color w:val="auto"/>
        </w:rPr>
      </w:pPr>
      <w:r w:rsidRPr="002A7BF0">
        <w:rPr>
          <w:color w:val="auto"/>
        </w:rPr>
        <w:t>Gaming rooms are areas where poker machines or gaming machines are located.  AHA members have a vast differences in size, design and location.  Also, there are is a range of regulatory requirements amongst jurisdictions.</w:t>
      </w:r>
    </w:p>
    <w:p w:rsidR="00C4582A" w:rsidRPr="002A7BF0" w:rsidRDefault="00C4582A" w:rsidP="00C4582A">
      <w:pPr>
        <w:rPr>
          <w:color w:val="auto"/>
        </w:rPr>
      </w:pPr>
    </w:p>
    <w:p w:rsidR="00C4582A" w:rsidRPr="002A7BF0" w:rsidRDefault="00C4582A" w:rsidP="00C4582A">
      <w:pPr>
        <w:rPr>
          <w:color w:val="auto"/>
          <w:u w:val="single"/>
        </w:rPr>
      </w:pPr>
      <w:r w:rsidRPr="002A7BF0">
        <w:rPr>
          <w:color w:val="auto"/>
          <w:u w:val="single"/>
        </w:rPr>
        <w:t xml:space="preserve">Definition </w:t>
      </w:r>
    </w:p>
    <w:p w:rsidR="00C4582A" w:rsidRPr="002A7BF0" w:rsidRDefault="00C4582A" w:rsidP="00C4582A">
      <w:pPr>
        <w:rPr>
          <w:color w:val="auto"/>
        </w:rPr>
      </w:pPr>
      <w:r w:rsidRPr="002A7BF0">
        <w:rPr>
          <w:color w:val="auto"/>
        </w:rPr>
        <w:t xml:space="preserve">Hotels must ensure 1.5 metres social distancing between gaming patrons across the venue.  Due to the various size and location of gaming machines, the prime consideration is the enabling of social distancing. </w:t>
      </w:r>
      <w:r w:rsidR="002C7631" w:rsidRPr="002A7BF0">
        <w:rPr>
          <w:color w:val="auto"/>
        </w:rPr>
        <w:t xml:space="preserve">So as to achieve social distancing, </w:t>
      </w:r>
      <w:r w:rsidRPr="002A7BF0">
        <w:rPr>
          <w:color w:val="auto"/>
        </w:rPr>
        <w:t>Hotels should look to limit the density of patrons in these rooms through physical means such as:</w:t>
      </w:r>
    </w:p>
    <w:p w:rsidR="00E34A45" w:rsidRPr="002A7BF0" w:rsidRDefault="00E34A45" w:rsidP="00C4582A">
      <w:pPr>
        <w:rPr>
          <w:color w:val="auto"/>
        </w:rPr>
      </w:pPr>
    </w:p>
    <w:p w:rsidR="001306A0" w:rsidRPr="002A7BF0" w:rsidRDefault="001306A0" w:rsidP="001306A0">
      <w:pPr>
        <w:pStyle w:val="ListParagraph"/>
        <w:numPr>
          <w:ilvl w:val="0"/>
          <w:numId w:val="7"/>
        </w:numPr>
        <w:rPr>
          <w:color w:val="auto"/>
        </w:rPr>
      </w:pPr>
      <w:r w:rsidRPr="002A7BF0">
        <w:rPr>
          <w:color w:val="auto"/>
        </w:rPr>
        <w:t>Signage to encourage social distancing</w:t>
      </w:r>
    </w:p>
    <w:p w:rsidR="00C4582A" w:rsidRPr="002A7BF0" w:rsidRDefault="001306A0" w:rsidP="00E34A45">
      <w:pPr>
        <w:pStyle w:val="ListParagraph"/>
        <w:numPr>
          <w:ilvl w:val="0"/>
          <w:numId w:val="7"/>
        </w:numPr>
        <w:rPr>
          <w:color w:val="auto"/>
        </w:rPr>
      </w:pPr>
      <w:r>
        <w:rPr>
          <w:color w:val="auto"/>
        </w:rPr>
        <w:t>If necessary, l</w:t>
      </w:r>
      <w:r w:rsidR="00C4582A" w:rsidRPr="002A7BF0">
        <w:rPr>
          <w:color w:val="auto"/>
        </w:rPr>
        <w:t>imiting seating and ensuring only seated players are in the area</w:t>
      </w:r>
    </w:p>
    <w:p w:rsidR="00C4582A" w:rsidRPr="002A7BF0" w:rsidRDefault="00C4582A" w:rsidP="00E34A45">
      <w:pPr>
        <w:pStyle w:val="ListParagraph"/>
        <w:numPr>
          <w:ilvl w:val="0"/>
          <w:numId w:val="7"/>
        </w:numPr>
        <w:rPr>
          <w:color w:val="auto"/>
        </w:rPr>
      </w:pPr>
      <w:r w:rsidRPr="002A7BF0">
        <w:rPr>
          <w:color w:val="auto"/>
        </w:rPr>
        <w:t>Moving (where allowed) gaming machines within the venue</w:t>
      </w:r>
    </w:p>
    <w:p w:rsidR="00C4582A" w:rsidRPr="002A7BF0" w:rsidRDefault="00C4582A" w:rsidP="00E34A45">
      <w:pPr>
        <w:pStyle w:val="ListParagraph"/>
        <w:numPr>
          <w:ilvl w:val="0"/>
          <w:numId w:val="7"/>
        </w:numPr>
        <w:rPr>
          <w:color w:val="auto"/>
        </w:rPr>
      </w:pPr>
      <w:r w:rsidRPr="002A7BF0">
        <w:rPr>
          <w:color w:val="auto"/>
        </w:rPr>
        <w:t>Utilising only some parts of the gaming room or machines within the venue.</w:t>
      </w:r>
    </w:p>
    <w:p w:rsidR="00C054CD" w:rsidRPr="002A7BF0" w:rsidRDefault="00C054CD">
      <w:pPr>
        <w:rPr>
          <w:color w:val="auto"/>
        </w:rPr>
      </w:pPr>
    </w:p>
    <w:p w:rsidR="00B140BA" w:rsidRPr="002A7BF0" w:rsidRDefault="00E575B5">
      <w:pPr>
        <w:rPr>
          <w:b/>
          <w:color w:val="auto"/>
        </w:rPr>
      </w:pPr>
      <w:r w:rsidRPr="002A7BF0">
        <w:rPr>
          <w:b/>
          <w:color w:val="auto"/>
        </w:rPr>
        <w:t>“</w:t>
      </w:r>
      <w:r w:rsidR="00B140BA" w:rsidRPr="002A7BF0">
        <w:rPr>
          <w:b/>
          <w:color w:val="auto"/>
        </w:rPr>
        <w:t>Moving through</w:t>
      </w:r>
      <w:r w:rsidRPr="002A7BF0">
        <w:rPr>
          <w:b/>
          <w:color w:val="auto"/>
        </w:rPr>
        <w:t>”</w:t>
      </w:r>
      <w:r w:rsidR="00B140BA" w:rsidRPr="002A7BF0">
        <w:rPr>
          <w:b/>
          <w:color w:val="auto"/>
        </w:rPr>
        <w:t xml:space="preserve"> spaces </w:t>
      </w:r>
    </w:p>
    <w:p w:rsidR="00B140BA" w:rsidRPr="002A7BF0" w:rsidRDefault="00B140BA">
      <w:pPr>
        <w:rPr>
          <w:color w:val="auto"/>
        </w:rPr>
      </w:pPr>
    </w:p>
    <w:p w:rsidR="00E575B5" w:rsidRPr="002A7BF0" w:rsidRDefault="00E575B5">
      <w:pPr>
        <w:rPr>
          <w:color w:val="auto"/>
          <w:u w:val="single"/>
        </w:rPr>
      </w:pPr>
      <w:r w:rsidRPr="002A7BF0">
        <w:rPr>
          <w:color w:val="auto"/>
          <w:u w:val="single"/>
        </w:rPr>
        <w:t>Background</w:t>
      </w:r>
    </w:p>
    <w:p w:rsidR="00B140BA" w:rsidRPr="002A7BF0" w:rsidRDefault="00E575B5">
      <w:pPr>
        <w:rPr>
          <w:color w:val="auto"/>
        </w:rPr>
      </w:pPr>
      <w:r w:rsidRPr="002A7BF0">
        <w:rPr>
          <w:color w:val="auto"/>
        </w:rPr>
        <w:t xml:space="preserve">The Prime Minister also discussed “move through” areas.  </w:t>
      </w:r>
      <w:r w:rsidR="00B140BA" w:rsidRPr="002A7BF0">
        <w:rPr>
          <w:color w:val="auto"/>
        </w:rPr>
        <w:t xml:space="preserve">Hotels take many shapes and forms, e.g. pubs, accommodation hotels, bars and taverns.  </w:t>
      </w:r>
      <w:r w:rsidRPr="002A7BF0">
        <w:rPr>
          <w:color w:val="auto"/>
        </w:rPr>
        <w:t>V</w:t>
      </w:r>
      <w:r w:rsidR="00B140BA" w:rsidRPr="002A7BF0">
        <w:rPr>
          <w:color w:val="auto"/>
        </w:rPr>
        <w:t>enues</w:t>
      </w:r>
      <w:r w:rsidRPr="002A7BF0">
        <w:rPr>
          <w:color w:val="auto"/>
        </w:rPr>
        <w:t xml:space="preserve"> often</w:t>
      </w:r>
      <w:r w:rsidR="00B140BA" w:rsidRPr="002A7BF0">
        <w:rPr>
          <w:color w:val="auto"/>
        </w:rPr>
        <w:t xml:space="preserve"> have “ebb and flow” with patrons “moving through” various spaces, e.g.</w:t>
      </w:r>
    </w:p>
    <w:p w:rsidR="00B140BA" w:rsidRPr="002A7BF0" w:rsidRDefault="00B140BA">
      <w:pPr>
        <w:rPr>
          <w:color w:val="auto"/>
        </w:rPr>
      </w:pPr>
    </w:p>
    <w:p w:rsidR="00B140BA" w:rsidRPr="002A7BF0" w:rsidRDefault="00B140BA" w:rsidP="00B140BA">
      <w:pPr>
        <w:pStyle w:val="ListParagraph"/>
        <w:numPr>
          <w:ilvl w:val="0"/>
          <w:numId w:val="8"/>
        </w:numPr>
        <w:rPr>
          <w:color w:val="auto"/>
        </w:rPr>
      </w:pPr>
      <w:r w:rsidRPr="002A7BF0">
        <w:rPr>
          <w:color w:val="auto"/>
        </w:rPr>
        <w:t>Accommodation hotel reception and concierge areas</w:t>
      </w:r>
      <w:r w:rsidR="00E575B5" w:rsidRPr="002A7BF0">
        <w:rPr>
          <w:color w:val="auto"/>
        </w:rPr>
        <w:t xml:space="preserve"> with people checking in/out</w:t>
      </w:r>
    </w:p>
    <w:p w:rsidR="00B140BA" w:rsidRPr="002A7BF0" w:rsidRDefault="00B140BA" w:rsidP="00B140BA">
      <w:pPr>
        <w:pStyle w:val="ListParagraph"/>
        <w:numPr>
          <w:ilvl w:val="0"/>
          <w:numId w:val="8"/>
        </w:numPr>
        <w:rPr>
          <w:color w:val="auto"/>
        </w:rPr>
      </w:pPr>
      <w:r w:rsidRPr="002A7BF0">
        <w:rPr>
          <w:color w:val="auto"/>
        </w:rPr>
        <w:t>Pubs with people moving through to bathrooms or on their way to other spaces</w:t>
      </w:r>
    </w:p>
    <w:p w:rsidR="00B140BA" w:rsidRPr="002A7BF0" w:rsidRDefault="00B140BA">
      <w:pPr>
        <w:rPr>
          <w:color w:val="auto"/>
        </w:rPr>
      </w:pPr>
    </w:p>
    <w:p w:rsidR="00E575B5" w:rsidRPr="002A7BF0" w:rsidRDefault="00E575B5">
      <w:pPr>
        <w:rPr>
          <w:color w:val="auto"/>
          <w:u w:val="single"/>
        </w:rPr>
      </w:pPr>
      <w:r w:rsidRPr="002A7BF0">
        <w:rPr>
          <w:color w:val="auto"/>
          <w:u w:val="single"/>
        </w:rPr>
        <w:t xml:space="preserve">Definition </w:t>
      </w:r>
    </w:p>
    <w:p w:rsidR="00B140BA" w:rsidRPr="002A7BF0" w:rsidRDefault="00B140BA">
      <w:pPr>
        <w:rPr>
          <w:color w:val="auto"/>
        </w:rPr>
      </w:pPr>
    </w:p>
    <w:p w:rsidR="0025710D" w:rsidRPr="002A7BF0" w:rsidRDefault="0025710D">
      <w:pPr>
        <w:rPr>
          <w:color w:val="auto"/>
        </w:rPr>
      </w:pPr>
      <w:r w:rsidRPr="002A7BF0">
        <w:rPr>
          <w:color w:val="auto"/>
        </w:rPr>
        <w:t>The requirement for venues to limit non-essential indoor gatherings of 100 people or less (including staff), recognises that patrons in the process of usual “move through” traffic within a venue, will not be counted towards the limit of an indoor gathering.</w:t>
      </w:r>
    </w:p>
    <w:p w:rsidR="0025710D" w:rsidRPr="002A7BF0" w:rsidRDefault="0025710D">
      <w:pPr>
        <w:rPr>
          <w:color w:val="auto"/>
        </w:rPr>
      </w:pPr>
    </w:p>
    <w:p w:rsidR="0025710D" w:rsidRPr="002A7BF0" w:rsidRDefault="0025710D">
      <w:pPr>
        <w:rPr>
          <w:b/>
          <w:color w:val="auto"/>
        </w:rPr>
      </w:pPr>
      <w:r w:rsidRPr="002A7BF0">
        <w:rPr>
          <w:b/>
          <w:color w:val="auto"/>
        </w:rPr>
        <w:t xml:space="preserve">Accommodation Hotels </w:t>
      </w:r>
    </w:p>
    <w:p w:rsidR="0025710D" w:rsidRPr="002A7BF0" w:rsidRDefault="0025710D">
      <w:pPr>
        <w:rPr>
          <w:color w:val="auto"/>
        </w:rPr>
      </w:pPr>
    </w:p>
    <w:p w:rsidR="00ED7470" w:rsidRPr="002A7BF0" w:rsidRDefault="00ED7470">
      <w:pPr>
        <w:rPr>
          <w:color w:val="auto"/>
          <w:u w:val="single"/>
        </w:rPr>
      </w:pPr>
      <w:r w:rsidRPr="002A7BF0">
        <w:rPr>
          <w:color w:val="auto"/>
          <w:u w:val="single"/>
        </w:rPr>
        <w:t xml:space="preserve">Background </w:t>
      </w:r>
    </w:p>
    <w:p w:rsidR="0025710D" w:rsidRPr="002A7BF0" w:rsidRDefault="0025710D">
      <w:pPr>
        <w:rPr>
          <w:color w:val="auto"/>
        </w:rPr>
      </w:pPr>
      <w:r w:rsidRPr="002A7BF0">
        <w:rPr>
          <w:color w:val="auto"/>
        </w:rPr>
        <w:t>Accommodation hotels provide an essential service for travellers, many of whom are in the process of providing essential services</w:t>
      </w:r>
      <w:r w:rsidR="002A7BF0" w:rsidRPr="002A7BF0">
        <w:rPr>
          <w:color w:val="auto"/>
        </w:rPr>
        <w:t xml:space="preserve"> </w:t>
      </w:r>
      <w:r w:rsidR="002A7BF0" w:rsidRPr="00F506A3">
        <w:rPr>
          <w:color w:val="auto"/>
        </w:rPr>
        <w:t>such as self-isolation for international and returning Australian citizens.</w:t>
      </w:r>
    </w:p>
    <w:p w:rsidR="0025710D" w:rsidRPr="002A7BF0" w:rsidRDefault="0025710D">
      <w:pPr>
        <w:rPr>
          <w:color w:val="auto"/>
        </w:rPr>
      </w:pPr>
    </w:p>
    <w:p w:rsidR="0025710D" w:rsidRPr="002A7BF0" w:rsidRDefault="0025710D">
      <w:pPr>
        <w:rPr>
          <w:color w:val="auto"/>
          <w:u w:val="single"/>
        </w:rPr>
      </w:pPr>
      <w:r w:rsidRPr="002A7BF0">
        <w:rPr>
          <w:color w:val="auto"/>
          <w:u w:val="single"/>
        </w:rPr>
        <w:t xml:space="preserve">Definition </w:t>
      </w:r>
    </w:p>
    <w:p w:rsidR="0025710D" w:rsidRPr="0025710D" w:rsidRDefault="00ED7470">
      <w:pPr>
        <w:rPr>
          <w:color w:val="auto"/>
        </w:rPr>
      </w:pPr>
      <w:r w:rsidRPr="002A7BF0">
        <w:rPr>
          <w:color w:val="auto"/>
        </w:rPr>
        <w:t>As it relates to food, beverage and accommodation services for their guests, a</w:t>
      </w:r>
      <w:r w:rsidR="0025710D" w:rsidRPr="002A7BF0">
        <w:rPr>
          <w:color w:val="auto"/>
        </w:rPr>
        <w:t xml:space="preserve">ccommodation hotels </w:t>
      </w:r>
      <w:r w:rsidRPr="002A7BF0">
        <w:rPr>
          <w:color w:val="auto"/>
        </w:rPr>
        <w:t xml:space="preserve">are to be considered an </w:t>
      </w:r>
      <w:bookmarkStart w:id="0" w:name="_GoBack"/>
      <w:bookmarkEnd w:id="0"/>
      <w:r w:rsidRPr="002A7BF0">
        <w:rPr>
          <w:color w:val="auto"/>
        </w:rPr>
        <w:t>“essential activity”.</w:t>
      </w:r>
    </w:p>
    <w:sectPr w:rsidR="0025710D" w:rsidRPr="00257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623"/>
    <w:multiLevelType w:val="hybridMultilevel"/>
    <w:tmpl w:val="AE709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F595D"/>
    <w:multiLevelType w:val="hybridMultilevel"/>
    <w:tmpl w:val="2E3C230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2AFA6382"/>
    <w:multiLevelType w:val="multilevel"/>
    <w:tmpl w:val="D9529D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32D76C6"/>
    <w:multiLevelType w:val="hybridMultilevel"/>
    <w:tmpl w:val="9210D51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38B78DB"/>
    <w:multiLevelType w:val="hybridMultilevel"/>
    <w:tmpl w:val="82C68190"/>
    <w:lvl w:ilvl="0" w:tplc="254E78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382DDB"/>
    <w:multiLevelType w:val="hybridMultilevel"/>
    <w:tmpl w:val="ABF6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856175"/>
    <w:multiLevelType w:val="hybridMultilevel"/>
    <w:tmpl w:val="3FE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A4229F"/>
    <w:multiLevelType w:val="hybridMultilevel"/>
    <w:tmpl w:val="F05C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807981"/>
    <w:multiLevelType w:val="hybridMultilevel"/>
    <w:tmpl w:val="3FFA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8"/>
  </w:num>
  <w:num w:numId="6">
    <w:abstractNumId w:val="4"/>
  </w:num>
  <w:num w:numId="7">
    <w:abstractNumId w:val="6"/>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2"/>
    <w:rsid w:val="001306A0"/>
    <w:rsid w:val="00133459"/>
    <w:rsid w:val="00152DFC"/>
    <w:rsid w:val="001F56D9"/>
    <w:rsid w:val="00243AE4"/>
    <w:rsid w:val="0025710D"/>
    <w:rsid w:val="002A7BF0"/>
    <w:rsid w:val="002C7631"/>
    <w:rsid w:val="002E0E70"/>
    <w:rsid w:val="00313721"/>
    <w:rsid w:val="0034165C"/>
    <w:rsid w:val="005774B0"/>
    <w:rsid w:val="007E3F70"/>
    <w:rsid w:val="008B494A"/>
    <w:rsid w:val="00A04BED"/>
    <w:rsid w:val="00A7585D"/>
    <w:rsid w:val="00B140BA"/>
    <w:rsid w:val="00B36CC3"/>
    <w:rsid w:val="00C054CD"/>
    <w:rsid w:val="00C4582A"/>
    <w:rsid w:val="00D20AC2"/>
    <w:rsid w:val="00DF4172"/>
    <w:rsid w:val="00E34A45"/>
    <w:rsid w:val="00E5363E"/>
    <w:rsid w:val="00E575B5"/>
    <w:rsid w:val="00ED7470"/>
    <w:rsid w:val="00F50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4D5DF-FA5C-43F8-8B82-E503B51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595959"/>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459"/>
    <w:pPr>
      <w:keepNext/>
      <w:keepLines/>
      <w:numPr>
        <w:numId w:val="2"/>
      </w:numPr>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33459"/>
    <w:pPr>
      <w:keepNext/>
      <w:keepLines/>
      <w:numPr>
        <w:ilvl w:val="1"/>
        <w:numId w:val="1"/>
      </w:numPr>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459"/>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133459"/>
    <w:rPr>
      <w:rFonts w:eastAsiaTheme="majorEastAsia" w:cstheme="majorBidi"/>
      <w:color w:val="2E74B5" w:themeColor="accent1" w:themeShade="BF"/>
      <w:sz w:val="26"/>
      <w:szCs w:val="26"/>
    </w:rPr>
  </w:style>
  <w:style w:type="paragraph" w:styleId="TOC1">
    <w:name w:val="toc 1"/>
    <w:basedOn w:val="Normal"/>
    <w:next w:val="Normal"/>
    <w:autoRedefine/>
    <w:uiPriority w:val="39"/>
    <w:unhideWhenUsed/>
    <w:rsid w:val="00243AE4"/>
    <w:rPr>
      <w:rFonts w:eastAsia="Times New Roman" w:cs="Arial"/>
      <w:color w:val="auto"/>
      <w:szCs w:val="24"/>
    </w:rPr>
  </w:style>
  <w:style w:type="table" w:styleId="TableGrid">
    <w:name w:val="Table Grid"/>
    <w:basedOn w:val="TableNormal"/>
    <w:uiPriority w:val="39"/>
    <w:rsid w:val="00DF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D3D.D681F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Ferguson</dc:creator>
  <cp:keywords/>
  <dc:description/>
  <cp:lastModifiedBy>Bernie Hogan</cp:lastModifiedBy>
  <cp:revision>6</cp:revision>
  <cp:lastPrinted>2020-03-18T01:11:00Z</cp:lastPrinted>
  <dcterms:created xsi:type="dcterms:W3CDTF">2020-03-18T05:27:00Z</dcterms:created>
  <dcterms:modified xsi:type="dcterms:W3CDTF">2020-03-18T05:31:00Z</dcterms:modified>
</cp:coreProperties>
</file>