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56" w:rsidRDefault="00041156">
      <w:r>
        <w:t>COVID-19</w:t>
      </w:r>
      <w:r w:rsidR="004F1251">
        <w:t xml:space="preserve">: </w:t>
      </w:r>
      <w:r>
        <w:t>STIMULUS AND SUPPORT INFORMATION</w:t>
      </w:r>
    </w:p>
    <w:p w:rsidR="004F1251" w:rsidRPr="004F1251" w:rsidRDefault="004F1251">
      <w:pPr>
        <w:rPr>
          <w:b/>
          <w:u w:val="single"/>
        </w:rPr>
      </w:pPr>
    </w:p>
    <w:p w:rsidR="00041156" w:rsidRDefault="004F1251">
      <w:pPr>
        <w:rPr>
          <w:b/>
          <w:u w:val="single"/>
        </w:rPr>
      </w:pPr>
      <w:r w:rsidRPr="004F1251">
        <w:rPr>
          <w:b/>
          <w:u w:val="single"/>
        </w:rPr>
        <w:t>QUEENSLAND STATE GOVERNMENT</w:t>
      </w:r>
    </w:p>
    <w:p w:rsidR="004F1251" w:rsidRPr="004F1251" w:rsidRDefault="004F1251" w:rsidP="004F1251">
      <w:pPr>
        <w:rPr>
          <w:u w:val="single"/>
        </w:rPr>
      </w:pPr>
      <w:r w:rsidRPr="004F1251">
        <w:rPr>
          <w:u w:val="single"/>
        </w:rPr>
        <w:t>Payroll tax deferral </w:t>
      </w:r>
    </w:p>
    <w:p w:rsidR="004F1251" w:rsidRPr="004F1251" w:rsidRDefault="004F1251" w:rsidP="004F1251">
      <w:r w:rsidRPr="004F1251">
        <w:t>The State Government has extended its deferral of payroll tax for 6-months to all Queensland businesses. </w:t>
      </w:r>
    </w:p>
    <w:p w:rsidR="004F1251" w:rsidRPr="004F1251" w:rsidRDefault="004F1251" w:rsidP="004F1251">
      <w:r w:rsidRPr="004F1251">
        <w:t>Information on payroll tax deferral can be found at </w:t>
      </w:r>
      <w:hyperlink r:id="rId5" w:history="1">
        <w:r w:rsidRPr="004F1251">
          <w:rPr>
            <w:rStyle w:val="Hyperlink"/>
            <w:u w:val="none"/>
          </w:rPr>
          <w:t>www.osr.qld.gov.au</w:t>
        </w:r>
      </w:hyperlink>
    </w:p>
    <w:p w:rsidR="004F1251" w:rsidRPr="004F1251" w:rsidRDefault="004F1251" w:rsidP="004F1251">
      <w:pPr>
        <w:rPr>
          <w:u w:val="single"/>
        </w:rPr>
      </w:pPr>
      <w:r w:rsidRPr="004F1251">
        <w:rPr>
          <w:u w:val="single"/>
        </w:rPr>
        <w:t>Concessional loans</w:t>
      </w:r>
    </w:p>
    <w:p w:rsidR="002E683D" w:rsidRPr="002E683D" w:rsidRDefault="002E683D" w:rsidP="002E683D">
      <w:r w:rsidRPr="002E683D">
        <w:t xml:space="preserve">The Treasurer announced that the State has formed a $500Million fund that will provide low interest loans to C-19 effected businesses. These loans are to be interest free for the first 12 months and are capped at $250,000 aimed at enabling cash flow for small businesses. Companies can get more details at the Qld Rural and Industry Development Authority and register for more information at </w:t>
      </w:r>
      <w:hyperlink r:id="rId6" w:history="1">
        <w:r w:rsidRPr="002E683D">
          <w:rPr>
            <w:rStyle w:val="Hyperlink"/>
          </w:rPr>
          <w:t>http://www.qrida.qld.gov.au/current-programs/covid-19-business-support/queensland-covid19-jobs-support-scheme</w:t>
        </w:r>
      </w:hyperlink>
    </w:p>
    <w:p w:rsidR="004F1251" w:rsidRPr="004F1251" w:rsidRDefault="004F1251" w:rsidP="004F1251"/>
    <w:p w:rsidR="004F1251" w:rsidRPr="004F1251" w:rsidRDefault="004F1251" w:rsidP="004F1251">
      <w:pPr>
        <w:rPr>
          <w:u w:val="single"/>
        </w:rPr>
      </w:pPr>
      <w:r w:rsidRPr="004F1251">
        <w:rPr>
          <w:u w:val="single"/>
        </w:rPr>
        <w:t>The Industry Recovery Package </w:t>
      </w:r>
    </w:p>
    <w:p w:rsidR="004F1251" w:rsidRPr="004F1251" w:rsidRDefault="004F1251" w:rsidP="004F1251">
      <w:r w:rsidRPr="004F1251">
        <w:t>The package includes a range of initiatives which are listed below. For further detailed information head to </w:t>
      </w:r>
      <w:hyperlink r:id="rId7" w:history="1">
        <w:r w:rsidRPr="004F1251">
          <w:rPr>
            <w:rStyle w:val="Hyperlink"/>
            <w:u w:val="none"/>
          </w:rPr>
          <w:t>www.qld.gov.au/industryrecovery</w:t>
        </w:r>
      </w:hyperlink>
      <w:r w:rsidRPr="004F1251">
        <w:t> or contact 13 QGOV (13 74 68).</w:t>
      </w:r>
    </w:p>
    <w:p w:rsidR="004F1251" w:rsidRPr="004F1251" w:rsidRDefault="004F1251" w:rsidP="004F1251">
      <w:r w:rsidRPr="004F1251">
        <w:t> Support for small business and exporters</w:t>
      </w:r>
    </w:p>
    <w:p w:rsidR="004F1251" w:rsidRPr="004F1251" w:rsidRDefault="004F1251" w:rsidP="004F1251">
      <w:pPr>
        <w:numPr>
          <w:ilvl w:val="0"/>
          <w:numId w:val="1"/>
        </w:numPr>
      </w:pPr>
      <w:r w:rsidRPr="004F1251">
        <w:t>resilience workshops in partnership with local peak bodies to build the financial resilience of small businesses</w:t>
      </w:r>
    </w:p>
    <w:p w:rsidR="004F1251" w:rsidRPr="004F1251" w:rsidRDefault="004F1251" w:rsidP="004F1251">
      <w:pPr>
        <w:numPr>
          <w:ilvl w:val="0"/>
          <w:numId w:val="1"/>
        </w:numPr>
      </w:pPr>
      <w:r w:rsidRPr="004F1251">
        <w:t>business mentors to provide targeted advice to impacted small business </w:t>
      </w:r>
    </w:p>
    <w:p w:rsidR="004F1251" w:rsidRPr="004F1251" w:rsidRDefault="004F1251" w:rsidP="004F1251">
      <w:pPr>
        <w:numPr>
          <w:ilvl w:val="0"/>
          <w:numId w:val="1"/>
        </w:numPr>
      </w:pPr>
      <w:r w:rsidRPr="004F1251">
        <w:t xml:space="preserve">Small business hotline (1300 654 687) to direct small businesses to support options and </w:t>
      </w:r>
      <w:proofErr w:type="gramStart"/>
      <w:r w:rsidRPr="004F1251">
        <w:t>provide</w:t>
      </w:r>
      <w:proofErr w:type="gramEnd"/>
      <w:r w:rsidRPr="004F1251">
        <w:t xml:space="preserve"> updates and advice.</w:t>
      </w:r>
    </w:p>
    <w:p w:rsidR="004F1251" w:rsidRPr="004F1251" w:rsidRDefault="004F1251" w:rsidP="004F1251">
      <w:pPr>
        <w:numPr>
          <w:ilvl w:val="0"/>
          <w:numId w:val="1"/>
        </w:numPr>
      </w:pPr>
      <w:r w:rsidRPr="004F1251">
        <w:t>A $1.1 million Market Ready initiative to:</w:t>
      </w:r>
    </w:p>
    <w:p w:rsidR="004F1251" w:rsidRPr="004F1251" w:rsidRDefault="004F1251" w:rsidP="004F1251">
      <w:pPr>
        <w:numPr>
          <w:ilvl w:val="1"/>
          <w:numId w:val="1"/>
        </w:numPr>
      </w:pPr>
      <w:r w:rsidRPr="004F1251">
        <w:t>provide tailored export advice to SMEs on leveraging opportunities in the Chinese online market</w:t>
      </w:r>
    </w:p>
    <w:p w:rsidR="004F1251" w:rsidRPr="004F1251" w:rsidRDefault="004F1251" w:rsidP="004F1251">
      <w:pPr>
        <w:numPr>
          <w:ilvl w:val="1"/>
          <w:numId w:val="1"/>
        </w:numPr>
      </w:pPr>
      <w:r w:rsidRPr="004F1251">
        <w:t>support brand development through provision of market intelligence and expert advice for exporters looking to enter new markets</w:t>
      </w:r>
    </w:p>
    <w:p w:rsidR="004F1251" w:rsidRPr="004F1251" w:rsidRDefault="004F1251" w:rsidP="004F1251">
      <w:pPr>
        <w:numPr>
          <w:ilvl w:val="1"/>
          <w:numId w:val="1"/>
        </w:numPr>
      </w:pPr>
      <w:r w:rsidRPr="004F1251">
        <w:t>host China market development forums to provide practical expert advice</w:t>
      </w:r>
    </w:p>
    <w:p w:rsidR="004F1251" w:rsidRPr="002E683D" w:rsidRDefault="004F1251" w:rsidP="004F1251">
      <w:pPr>
        <w:rPr>
          <w:u w:val="single"/>
        </w:rPr>
      </w:pPr>
      <w:r w:rsidRPr="002323E2">
        <w:rPr>
          <w:u w:val="single"/>
        </w:rPr>
        <w:t>Industry specific support</w:t>
      </w:r>
    </w:p>
    <w:p w:rsidR="004F1251" w:rsidRPr="004F1251" w:rsidRDefault="004F1251" w:rsidP="004F1251">
      <w:pPr>
        <w:numPr>
          <w:ilvl w:val="0"/>
          <w:numId w:val="2"/>
        </w:numPr>
      </w:pPr>
      <w:r w:rsidRPr="004F1251">
        <w:t>$500,000 fisheries market diversification grants will provide for additional infrastructure on boats or onshore facilities to help businesses pursue new market opportunities</w:t>
      </w:r>
    </w:p>
    <w:p w:rsidR="004F1251" w:rsidRPr="004F1251" w:rsidRDefault="004F1251" w:rsidP="004F1251">
      <w:pPr>
        <w:numPr>
          <w:ilvl w:val="0"/>
          <w:numId w:val="2"/>
        </w:numPr>
      </w:pPr>
      <w:r w:rsidRPr="004F1251">
        <w:t>The Government will extend the catch area for tropical rock lobster for three months to reduce operating costs for quota holders and enable market expansion</w:t>
      </w:r>
    </w:p>
    <w:p w:rsidR="004F1251" w:rsidRPr="004F1251" w:rsidRDefault="004F1251" w:rsidP="004F1251">
      <w:pPr>
        <w:numPr>
          <w:ilvl w:val="0"/>
          <w:numId w:val="2"/>
        </w:numPr>
      </w:pPr>
      <w:r w:rsidRPr="004F1251">
        <w:lastRenderedPageBreak/>
        <w:t>The Government will temporarily waive fishing boat license fees and quota fees for tropical rock lobster and coral trout</w:t>
      </w:r>
    </w:p>
    <w:p w:rsidR="004F1251" w:rsidRPr="004F1251" w:rsidRDefault="004F1251" w:rsidP="004F1251">
      <w:pPr>
        <w:numPr>
          <w:ilvl w:val="0"/>
          <w:numId w:val="2"/>
        </w:numPr>
      </w:pPr>
      <w:r w:rsidRPr="004F1251">
        <w:t>Fees and charges relief for</w:t>
      </w:r>
      <w:r w:rsidR="002E683D">
        <w:t xml:space="preserve"> </w:t>
      </w:r>
      <w:bookmarkStart w:id="0" w:name="_GoBack"/>
      <w:bookmarkEnd w:id="0"/>
      <w:r w:rsidRPr="004F1251">
        <w:t>tourism operators and hospitality businesses including:</w:t>
      </w:r>
    </w:p>
    <w:p w:rsidR="004F1251" w:rsidRPr="004F1251" w:rsidRDefault="004F1251" w:rsidP="004F1251">
      <w:pPr>
        <w:numPr>
          <w:ilvl w:val="1"/>
          <w:numId w:val="2"/>
        </w:numPr>
      </w:pPr>
      <w:r w:rsidRPr="004F1251">
        <w:t>waiving application fees for some variations to liquor licences</w:t>
      </w:r>
    </w:p>
    <w:p w:rsidR="004F1251" w:rsidRPr="004F1251" w:rsidRDefault="004F1251" w:rsidP="004F1251">
      <w:pPr>
        <w:numPr>
          <w:ilvl w:val="1"/>
          <w:numId w:val="2"/>
        </w:numPr>
      </w:pPr>
      <w:r w:rsidRPr="004F1251">
        <w:t>waiving registration fees for Inbound Tour Operators</w:t>
      </w:r>
    </w:p>
    <w:p w:rsidR="004F1251" w:rsidRPr="004F1251" w:rsidRDefault="004F1251" w:rsidP="004F1251">
      <w:pPr>
        <w:numPr>
          <w:ilvl w:val="1"/>
          <w:numId w:val="2"/>
        </w:numPr>
      </w:pPr>
      <w:r w:rsidRPr="004F1251">
        <w:t>waiving of Daily Fees for Commercial Activity Agreements &amp; Permits</w:t>
      </w:r>
    </w:p>
    <w:p w:rsidR="004F1251" w:rsidRPr="004F1251" w:rsidRDefault="004F1251" w:rsidP="004F1251">
      <w:pPr>
        <w:numPr>
          <w:ilvl w:val="1"/>
          <w:numId w:val="2"/>
        </w:numPr>
      </w:pPr>
      <w:r w:rsidRPr="004F1251">
        <w:t>rebate on Marina Charges and Passenger Levies</w:t>
      </w:r>
    </w:p>
    <w:p w:rsidR="004F1251" w:rsidRPr="004F1251" w:rsidRDefault="004F1251" w:rsidP="004F1251">
      <w:pPr>
        <w:numPr>
          <w:ilvl w:val="1"/>
          <w:numId w:val="2"/>
        </w:numPr>
      </w:pPr>
      <w:proofErr w:type="gramStart"/>
      <w:r w:rsidRPr="004F1251">
        <w:t>deferral</w:t>
      </w:r>
      <w:proofErr w:type="gramEnd"/>
      <w:r w:rsidRPr="004F1251">
        <w:t xml:space="preserve"> of Tourism Lease Rent Payment.</w:t>
      </w:r>
    </w:p>
    <w:p w:rsidR="004F1251" w:rsidRPr="002323E2" w:rsidRDefault="004F1251" w:rsidP="004F1251">
      <w:pPr>
        <w:rPr>
          <w:u w:val="single"/>
        </w:rPr>
      </w:pPr>
      <w:r w:rsidRPr="002323E2">
        <w:rPr>
          <w:u w:val="single"/>
        </w:rPr>
        <w:t>Marketing and promotion</w:t>
      </w:r>
    </w:p>
    <w:p w:rsidR="004F1251" w:rsidRPr="004F1251" w:rsidRDefault="004F1251" w:rsidP="004F1251">
      <w:pPr>
        <w:numPr>
          <w:ilvl w:val="0"/>
          <w:numId w:val="3"/>
        </w:numPr>
      </w:pPr>
      <w:r w:rsidRPr="004F1251">
        <w:t>$7 million to align with Tourism Australia to promote Queensland to international markets</w:t>
      </w:r>
    </w:p>
    <w:p w:rsidR="004F1251" w:rsidRPr="004F1251" w:rsidRDefault="004F1251" w:rsidP="004F1251">
      <w:pPr>
        <w:numPr>
          <w:ilvl w:val="0"/>
          <w:numId w:val="3"/>
        </w:numPr>
      </w:pPr>
      <w:r w:rsidRPr="004F1251">
        <w:t>$4.8 million targeted tourism campaign to promote travel to Tropical North Queensland and the Gold Coast, to support recovery from the sharp decline in international tourism</w:t>
      </w:r>
    </w:p>
    <w:p w:rsidR="004F1251" w:rsidRPr="004F1251" w:rsidRDefault="004F1251" w:rsidP="004F1251">
      <w:pPr>
        <w:numPr>
          <w:ilvl w:val="0"/>
          <w:numId w:val="3"/>
        </w:numPr>
      </w:pPr>
      <w:r w:rsidRPr="004F1251">
        <w:t>$2 million Study Queensland campaign to diversify the international student market and support re-entry from Chinese students</w:t>
      </w:r>
    </w:p>
    <w:p w:rsidR="004F1251" w:rsidRPr="004F1251" w:rsidRDefault="004F1251" w:rsidP="004F1251">
      <w:pPr>
        <w:numPr>
          <w:ilvl w:val="0"/>
          <w:numId w:val="3"/>
        </w:numPr>
      </w:pPr>
      <w:r w:rsidRPr="004F1251">
        <w:t>The $500,000 #</w:t>
      </w:r>
      <w:proofErr w:type="spellStart"/>
      <w:r w:rsidRPr="004F1251">
        <w:t>EatQLD</w:t>
      </w:r>
      <w:proofErr w:type="spellEnd"/>
      <w:r w:rsidRPr="004F1251">
        <w:t xml:space="preserve"> campaign will encourage Queenslanders to buy local seafood and other agricultural products.</w:t>
      </w:r>
    </w:p>
    <w:p w:rsidR="004F1251" w:rsidRPr="002323E2" w:rsidRDefault="004F1251" w:rsidP="004F1251">
      <w:pPr>
        <w:rPr>
          <w:u w:val="single"/>
        </w:rPr>
      </w:pPr>
      <w:r w:rsidRPr="002323E2">
        <w:rPr>
          <w:u w:val="single"/>
        </w:rPr>
        <w:t>Student support and counselling</w:t>
      </w:r>
    </w:p>
    <w:p w:rsidR="004F1251" w:rsidRPr="004F1251" w:rsidRDefault="004F1251" w:rsidP="004F1251">
      <w:pPr>
        <w:numPr>
          <w:ilvl w:val="0"/>
          <w:numId w:val="4"/>
        </w:numPr>
      </w:pPr>
      <w:r w:rsidRPr="004F1251">
        <w:t>An additional $1 million is available to increase student support services across Queensland to help impacted students returning to study. This support includes providing information, advice and referrals on health care, employment, budget management, accommodation and legal service, as well as connecting students to social events and activities.</w:t>
      </w:r>
    </w:p>
    <w:p w:rsidR="004F1251" w:rsidRDefault="004F1251">
      <w:pPr>
        <w:rPr>
          <w:b/>
          <w:u w:val="single"/>
        </w:rPr>
      </w:pPr>
    </w:p>
    <w:p w:rsidR="004F1251" w:rsidRDefault="004F1251">
      <w:pPr>
        <w:rPr>
          <w:b/>
          <w:u w:val="single"/>
        </w:rPr>
      </w:pPr>
      <w:r>
        <w:rPr>
          <w:b/>
          <w:u w:val="single"/>
        </w:rPr>
        <w:t>AUSTRALIAN GOVERNMENT</w:t>
      </w:r>
    </w:p>
    <w:p w:rsidR="004F1251" w:rsidRPr="004F1251" w:rsidRDefault="004F1251" w:rsidP="004F1251">
      <w:pPr>
        <w:spacing w:before="100" w:beforeAutospacing="1" w:after="100" w:afterAutospacing="1" w:line="240" w:lineRule="auto"/>
        <w:outlineLvl w:val="0"/>
        <w:rPr>
          <w:rFonts w:ascii="Arial" w:eastAsia="Times New Roman" w:hAnsi="Arial" w:cs="Arial"/>
          <w:color w:val="502E84"/>
          <w:kern w:val="36"/>
          <w:sz w:val="48"/>
          <w:szCs w:val="48"/>
          <w:lang w:eastAsia="en-AU"/>
        </w:rPr>
      </w:pPr>
      <w:r w:rsidRPr="004F1251">
        <w:rPr>
          <w:rFonts w:ascii="Arial" w:eastAsia="Times New Roman" w:hAnsi="Arial" w:cs="Arial"/>
          <w:color w:val="502E84"/>
          <w:kern w:val="36"/>
          <w:sz w:val="48"/>
          <w:szCs w:val="48"/>
          <w:lang w:eastAsia="en-AU"/>
        </w:rPr>
        <w:t>Australian Government Stimulus Packages</w:t>
      </w:r>
    </w:p>
    <w:tbl>
      <w:tblPr>
        <w:tblW w:w="10153" w:type="dxa"/>
        <w:tblBorders>
          <w:top w:val="single" w:sz="6" w:space="0" w:color="666666"/>
        </w:tblBorders>
        <w:tblCellMar>
          <w:top w:w="150" w:type="dxa"/>
          <w:left w:w="150" w:type="dxa"/>
          <w:bottom w:w="150" w:type="dxa"/>
          <w:right w:w="150" w:type="dxa"/>
        </w:tblCellMar>
        <w:tblLook w:val="04A0" w:firstRow="1" w:lastRow="0" w:firstColumn="1" w:lastColumn="0" w:noHBand="0" w:noVBand="1"/>
      </w:tblPr>
      <w:tblGrid>
        <w:gridCol w:w="1964"/>
        <w:gridCol w:w="5737"/>
        <w:gridCol w:w="2452"/>
      </w:tblGrid>
      <w:tr w:rsidR="004F1251" w:rsidRPr="004F1251" w:rsidTr="004F1251">
        <w:trPr>
          <w:trHeight w:val="263"/>
        </w:trPr>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before="100" w:beforeAutospacing="1" w:after="100" w:afterAutospacing="1" w:line="240" w:lineRule="auto"/>
              <w:outlineLvl w:val="3"/>
              <w:rPr>
                <w:rFonts w:ascii="Arial" w:eastAsia="Times New Roman" w:hAnsi="Arial" w:cs="Arial"/>
                <w:color w:val="502E84"/>
                <w:sz w:val="24"/>
                <w:szCs w:val="24"/>
                <w:lang w:eastAsia="en-AU"/>
              </w:rPr>
            </w:pPr>
            <w:r w:rsidRPr="004F1251">
              <w:rPr>
                <w:rFonts w:ascii="Arial" w:eastAsia="Times New Roman" w:hAnsi="Arial" w:cs="Arial"/>
                <w:b/>
                <w:bCs/>
                <w:color w:val="502E84"/>
                <w:sz w:val="24"/>
                <w:szCs w:val="24"/>
                <w:lang w:eastAsia="en-AU"/>
              </w:rPr>
              <w:t> Objective</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before="100" w:beforeAutospacing="1" w:after="100" w:afterAutospacing="1" w:line="240" w:lineRule="auto"/>
              <w:outlineLvl w:val="3"/>
              <w:rPr>
                <w:rFonts w:ascii="Arial" w:eastAsia="Times New Roman" w:hAnsi="Arial" w:cs="Arial"/>
                <w:color w:val="502E84"/>
                <w:sz w:val="24"/>
                <w:szCs w:val="24"/>
                <w:lang w:eastAsia="en-AU"/>
              </w:rPr>
            </w:pPr>
            <w:r w:rsidRPr="004F1251">
              <w:rPr>
                <w:rFonts w:ascii="Arial" w:eastAsia="Times New Roman" w:hAnsi="Arial" w:cs="Arial"/>
                <w:b/>
                <w:bCs/>
                <w:color w:val="502E84"/>
                <w:sz w:val="24"/>
                <w:szCs w:val="24"/>
                <w:lang w:eastAsia="en-AU"/>
              </w:rPr>
              <w:t>What  </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before="100" w:beforeAutospacing="1" w:after="100" w:afterAutospacing="1" w:line="240" w:lineRule="auto"/>
              <w:outlineLvl w:val="3"/>
              <w:rPr>
                <w:rFonts w:ascii="Arial" w:eastAsia="Times New Roman" w:hAnsi="Arial" w:cs="Arial"/>
                <w:color w:val="502E84"/>
                <w:sz w:val="24"/>
                <w:szCs w:val="24"/>
                <w:lang w:eastAsia="en-AU"/>
              </w:rPr>
            </w:pPr>
            <w:r w:rsidRPr="004F1251">
              <w:rPr>
                <w:rFonts w:ascii="Arial" w:eastAsia="Times New Roman" w:hAnsi="Arial" w:cs="Arial"/>
                <w:b/>
                <w:bCs/>
                <w:color w:val="502E84"/>
                <w:sz w:val="24"/>
                <w:szCs w:val="24"/>
                <w:lang w:eastAsia="en-AU"/>
              </w:rPr>
              <w:t> When</w:t>
            </w:r>
          </w:p>
        </w:tc>
      </w:tr>
      <w:tr w:rsidR="004F1251" w:rsidRPr="004F1251" w:rsidTr="004F1251">
        <w:trPr>
          <w:trHeight w:val="937"/>
        </w:trPr>
        <w:tc>
          <w:tcPr>
            <w:tcW w:w="0" w:type="auto"/>
            <w:vMerge w:val="restart"/>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before="100" w:beforeAutospacing="1" w:after="100" w:afterAutospacing="1" w:line="240" w:lineRule="auto"/>
              <w:outlineLvl w:val="4"/>
              <w:rPr>
                <w:rFonts w:ascii="Arial" w:eastAsia="Times New Roman" w:hAnsi="Arial" w:cs="Arial"/>
                <w:color w:val="502E84"/>
                <w:sz w:val="20"/>
                <w:szCs w:val="20"/>
                <w:lang w:eastAsia="en-AU"/>
              </w:rPr>
            </w:pPr>
            <w:r w:rsidRPr="004F1251">
              <w:rPr>
                <w:rFonts w:ascii="Arial" w:eastAsia="Times New Roman" w:hAnsi="Arial" w:cs="Arial"/>
                <w:color w:val="502E84"/>
                <w:sz w:val="20"/>
                <w:szCs w:val="20"/>
                <w:lang w:eastAsia="en-AU"/>
              </w:rPr>
              <w:t>Delivering support for business investment </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hyperlink r:id="rId8" w:tgtFrame="_blank" w:tooltip="Coronavirus information and support for business" w:history="1">
              <w:r w:rsidRPr="004F1251">
                <w:rPr>
                  <w:rFonts w:ascii="Arial" w:eastAsia="Times New Roman" w:hAnsi="Arial" w:cs="Arial"/>
                  <w:b/>
                  <w:bCs/>
                  <w:i/>
                  <w:iCs/>
                  <w:color w:val="A71E5E"/>
                  <w:sz w:val="24"/>
                  <w:szCs w:val="24"/>
                  <w:lang w:eastAsia="en-AU"/>
                </w:rPr>
                <w:t>Increasing the instant asset write-off</w:t>
              </w:r>
            </w:hyperlink>
            <w:r w:rsidRPr="004F1251">
              <w:rPr>
                <w:rFonts w:ascii="Arial" w:eastAsia="Times New Roman" w:hAnsi="Arial" w:cs="Arial"/>
                <w:color w:val="4D4D4D"/>
                <w:sz w:val="24"/>
                <w:szCs w:val="24"/>
                <w:lang w:eastAsia="en-AU"/>
              </w:rPr>
              <w:t> - Lifting the threshold to $150 000 (from $30 000) - and making more businesses eligible to use it </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r w:rsidRPr="004F1251">
              <w:rPr>
                <w:rFonts w:ascii="Arial" w:eastAsia="Times New Roman" w:hAnsi="Arial" w:cs="Arial"/>
                <w:color w:val="4D4D4D"/>
                <w:sz w:val="24"/>
                <w:szCs w:val="24"/>
                <w:lang w:eastAsia="en-AU"/>
              </w:rPr>
              <w:t>Immediately, until 30 June 2020</w:t>
            </w:r>
          </w:p>
        </w:tc>
      </w:tr>
      <w:tr w:rsidR="004F1251" w:rsidRPr="004F1251" w:rsidTr="004F1251">
        <w:trPr>
          <w:trHeight w:val="967"/>
        </w:trPr>
        <w:tc>
          <w:tcPr>
            <w:tcW w:w="0" w:type="auto"/>
            <w:vMerge/>
            <w:tcBorders>
              <w:bottom w:val="single" w:sz="6" w:space="0" w:color="666666"/>
            </w:tcBorders>
            <w:vAlign w:val="center"/>
            <w:hideMark/>
          </w:tcPr>
          <w:p w:rsidR="004F1251" w:rsidRPr="004F1251" w:rsidRDefault="004F1251" w:rsidP="004F1251">
            <w:pPr>
              <w:spacing w:after="0" w:line="240" w:lineRule="auto"/>
              <w:rPr>
                <w:rFonts w:ascii="Arial" w:eastAsia="Times New Roman" w:hAnsi="Arial" w:cs="Arial"/>
                <w:color w:val="502E84"/>
                <w:sz w:val="20"/>
                <w:szCs w:val="20"/>
                <w:lang w:eastAsia="en-AU"/>
              </w:rPr>
            </w:pP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hyperlink r:id="rId9" w:tgtFrame="_blank" w:tooltip="Backing Business Investment (BBI)" w:history="1">
              <w:r w:rsidRPr="004F1251">
                <w:rPr>
                  <w:rFonts w:ascii="Arial" w:eastAsia="Times New Roman" w:hAnsi="Arial" w:cs="Arial"/>
                  <w:b/>
                  <w:bCs/>
                  <w:i/>
                  <w:iCs/>
                  <w:color w:val="A71E5E"/>
                  <w:sz w:val="24"/>
                  <w:szCs w:val="24"/>
                  <w:lang w:eastAsia="en-AU"/>
                </w:rPr>
                <w:t>Backing business investment</w:t>
              </w:r>
              <w:r w:rsidRPr="004F1251">
                <w:rPr>
                  <w:rFonts w:ascii="Arial" w:eastAsia="Times New Roman" w:hAnsi="Arial" w:cs="Arial"/>
                  <w:i/>
                  <w:iCs/>
                  <w:color w:val="A71E5E"/>
                  <w:sz w:val="24"/>
                  <w:szCs w:val="24"/>
                  <w:lang w:eastAsia="en-AU"/>
                </w:rPr>
                <w:t> </w:t>
              </w:r>
            </w:hyperlink>
            <w:r w:rsidRPr="004F1251">
              <w:rPr>
                <w:rFonts w:ascii="Arial" w:eastAsia="Times New Roman" w:hAnsi="Arial" w:cs="Arial"/>
                <w:color w:val="4D4D4D"/>
                <w:sz w:val="24"/>
                <w:szCs w:val="24"/>
                <w:lang w:eastAsia="en-AU"/>
              </w:rPr>
              <w:t>- Offering businesses a time-limited incentive to invest, by accelerating depreciation deductions</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r w:rsidRPr="004F1251">
              <w:rPr>
                <w:rFonts w:ascii="Arial" w:eastAsia="Times New Roman" w:hAnsi="Arial" w:cs="Arial"/>
                <w:color w:val="4D4D4D"/>
                <w:sz w:val="24"/>
                <w:szCs w:val="24"/>
                <w:lang w:eastAsia="en-AU"/>
              </w:rPr>
              <w:t>Immediately, until 30 June 2021</w:t>
            </w:r>
          </w:p>
        </w:tc>
      </w:tr>
      <w:tr w:rsidR="004F1251" w:rsidRPr="004F1251" w:rsidTr="004F1251">
        <w:trPr>
          <w:trHeight w:val="1480"/>
        </w:trPr>
        <w:tc>
          <w:tcPr>
            <w:tcW w:w="0" w:type="auto"/>
            <w:vMerge w:val="restart"/>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before="100" w:beforeAutospacing="1" w:after="100" w:afterAutospacing="1" w:line="240" w:lineRule="auto"/>
              <w:outlineLvl w:val="4"/>
              <w:rPr>
                <w:rFonts w:ascii="Arial" w:eastAsia="Times New Roman" w:hAnsi="Arial" w:cs="Arial"/>
                <w:color w:val="502E84"/>
                <w:sz w:val="20"/>
                <w:szCs w:val="20"/>
                <w:lang w:eastAsia="en-AU"/>
              </w:rPr>
            </w:pPr>
            <w:proofErr w:type="spellStart"/>
            <w:r w:rsidRPr="004F1251">
              <w:rPr>
                <w:rFonts w:ascii="Arial" w:eastAsia="Times New Roman" w:hAnsi="Arial" w:cs="Arial"/>
                <w:color w:val="502E84"/>
                <w:sz w:val="20"/>
                <w:szCs w:val="20"/>
                <w:lang w:eastAsia="en-AU"/>
              </w:rPr>
              <w:lastRenderedPageBreak/>
              <w:t>Cashflow</w:t>
            </w:r>
            <w:proofErr w:type="spellEnd"/>
            <w:r w:rsidRPr="004F1251">
              <w:rPr>
                <w:rFonts w:ascii="Arial" w:eastAsia="Times New Roman" w:hAnsi="Arial" w:cs="Arial"/>
                <w:color w:val="502E84"/>
                <w:sz w:val="20"/>
                <w:szCs w:val="20"/>
                <w:lang w:eastAsia="en-AU"/>
              </w:rPr>
              <w:t xml:space="preserve"> assistance to business </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hyperlink r:id="rId10" w:tgtFrame="_blank" w:tooltip="Boosting cash flow for employers" w:history="1">
              <w:r w:rsidRPr="004F1251">
                <w:rPr>
                  <w:rFonts w:ascii="Arial" w:eastAsia="Times New Roman" w:hAnsi="Arial" w:cs="Arial"/>
                  <w:b/>
                  <w:bCs/>
                  <w:i/>
                  <w:iCs/>
                  <w:color w:val="A71E5E"/>
                  <w:sz w:val="24"/>
                  <w:szCs w:val="24"/>
                  <w:lang w:eastAsia="en-AU"/>
                </w:rPr>
                <w:t>Boosting cash flow for employers</w:t>
              </w:r>
              <w:r w:rsidRPr="004F1251">
                <w:rPr>
                  <w:rFonts w:ascii="Arial" w:eastAsia="Times New Roman" w:hAnsi="Arial" w:cs="Arial"/>
                  <w:b/>
                  <w:bCs/>
                  <w:color w:val="A71E5E"/>
                  <w:sz w:val="24"/>
                  <w:szCs w:val="24"/>
                  <w:lang w:eastAsia="en-AU"/>
                </w:rPr>
                <w:t> </w:t>
              </w:r>
            </w:hyperlink>
            <w:r w:rsidRPr="004F1251">
              <w:rPr>
                <w:rFonts w:ascii="Arial" w:eastAsia="Times New Roman" w:hAnsi="Arial" w:cs="Arial"/>
                <w:color w:val="4D4D4D"/>
                <w:sz w:val="24"/>
                <w:szCs w:val="24"/>
                <w:lang w:eastAsia="en-AU"/>
              </w:rPr>
              <w:t>- Helping small and medium-sized businesses cover the costs of employee wages and salaries (50% of PAYG withheld, with a minimum $2 000 payment and up to a cap of $25 000 over 6 months).</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r w:rsidRPr="004F1251">
              <w:rPr>
                <w:rFonts w:ascii="Arial" w:eastAsia="Times New Roman" w:hAnsi="Arial" w:cs="Arial"/>
                <w:color w:val="4D4D4D"/>
                <w:sz w:val="24"/>
                <w:szCs w:val="24"/>
                <w:lang w:eastAsia="en-AU"/>
              </w:rPr>
              <w:t>Covers amounts withheld between 1 January - 30 June 2020</w:t>
            </w:r>
          </w:p>
        </w:tc>
      </w:tr>
      <w:tr w:rsidR="004F1251" w:rsidRPr="004F1251" w:rsidTr="004F1251">
        <w:trPr>
          <w:trHeight w:val="952"/>
        </w:trPr>
        <w:tc>
          <w:tcPr>
            <w:tcW w:w="0" w:type="auto"/>
            <w:vMerge/>
            <w:tcBorders>
              <w:bottom w:val="single" w:sz="6" w:space="0" w:color="666666"/>
            </w:tcBorders>
            <w:vAlign w:val="center"/>
            <w:hideMark/>
          </w:tcPr>
          <w:p w:rsidR="004F1251" w:rsidRPr="004F1251" w:rsidRDefault="004F1251" w:rsidP="004F1251">
            <w:pPr>
              <w:spacing w:after="0" w:line="240" w:lineRule="auto"/>
              <w:rPr>
                <w:rFonts w:ascii="Arial" w:eastAsia="Times New Roman" w:hAnsi="Arial" w:cs="Arial"/>
                <w:color w:val="502E84"/>
                <w:sz w:val="20"/>
                <w:szCs w:val="20"/>
                <w:lang w:eastAsia="en-AU"/>
              </w:rPr>
            </w:pP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hyperlink r:id="rId11" w:tgtFrame="_blank" w:tooltip="Supporting Apprentices and trainees" w:history="1">
              <w:r w:rsidRPr="004F1251">
                <w:rPr>
                  <w:rFonts w:ascii="Arial" w:eastAsia="Times New Roman" w:hAnsi="Arial" w:cs="Arial"/>
                  <w:b/>
                  <w:bCs/>
                  <w:i/>
                  <w:iCs/>
                  <w:color w:val="A71E5E"/>
                  <w:sz w:val="24"/>
                  <w:szCs w:val="24"/>
                  <w:lang w:eastAsia="en-AU"/>
                </w:rPr>
                <w:t>Supporting apprentices and trainees</w:t>
              </w:r>
              <w:r w:rsidRPr="004F1251">
                <w:rPr>
                  <w:rFonts w:ascii="Arial" w:eastAsia="Times New Roman" w:hAnsi="Arial" w:cs="Arial"/>
                  <w:b/>
                  <w:bCs/>
                  <w:color w:val="A71E5E"/>
                  <w:sz w:val="24"/>
                  <w:szCs w:val="24"/>
                  <w:lang w:eastAsia="en-AU"/>
                </w:rPr>
                <w:t> </w:t>
              </w:r>
            </w:hyperlink>
            <w:r w:rsidRPr="004F1251">
              <w:rPr>
                <w:rFonts w:ascii="Arial" w:eastAsia="Times New Roman" w:hAnsi="Arial" w:cs="Arial"/>
                <w:color w:val="4D4D4D"/>
                <w:sz w:val="24"/>
                <w:szCs w:val="24"/>
                <w:lang w:eastAsia="en-AU"/>
              </w:rPr>
              <w:t>- Wage assistance to help small businesses to keep their apprentices and trainees</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r w:rsidRPr="004F1251">
              <w:rPr>
                <w:rFonts w:ascii="Arial" w:eastAsia="Times New Roman" w:hAnsi="Arial" w:cs="Arial"/>
                <w:color w:val="4D4D4D"/>
                <w:sz w:val="24"/>
                <w:szCs w:val="24"/>
                <w:lang w:eastAsia="en-AU"/>
              </w:rPr>
              <w:t>1 January 2020 to 30 September 2020</w:t>
            </w:r>
          </w:p>
        </w:tc>
      </w:tr>
      <w:tr w:rsidR="004F1251" w:rsidRPr="004F1251" w:rsidTr="004F1251">
        <w:trPr>
          <w:trHeight w:val="1084"/>
        </w:trPr>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before="100" w:beforeAutospacing="1" w:after="100" w:afterAutospacing="1" w:line="240" w:lineRule="auto"/>
              <w:outlineLvl w:val="4"/>
              <w:rPr>
                <w:rFonts w:ascii="Arial" w:eastAsia="Times New Roman" w:hAnsi="Arial" w:cs="Arial"/>
                <w:color w:val="502E84"/>
                <w:sz w:val="20"/>
                <w:szCs w:val="20"/>
                <w:lang w:eastAsia="en-AU"/>
              </w:rPr>
            </w:pPr>
            <w:r w:rsidRPr="004F1251">
              <w:rPr>
                <w:rFonts w:ascii="Arial" w:eastAsia="Times New Roman" w:hAnsi="Arial" w:cs="Arial"/>
                <w:color w:val="502E84"/>
                <w:sz w:val="20"/>
                <w:szCs w:val="20"/>
                <w:lang w:eastAsia="en-AU"/>
              </w:rPr>
              <w:t>Stimulus payments to households to support growth</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hyperlink r:id="rId12" w:tgtFrame="_blank" w:tooltip="Households" w:history="1">
              <w:r w:rsidRPr="004F1251">
                <w:rPr>
                  <w:rFonts w:ascii="Arial" w:eastAsia="Times New Roman" w:hAnsi="Arial" w:cs="Arial"/>
                  <w:b/>
                  <w:bCs/>
                  <w:i/>
                  <w:iCs/>
                  <w:color w:val="A71E5E"/>
                  <w:sz w:val="24"/>
                  <w:szCs w:val="24"/>
                  <w:lang w:eastAsia="en-AU"/>
                </w:rPr>
                <w:t>Stimulus payments</w:t>
              </w:r>
              <w:r w:rsidRPr="004F1251">
                <w:rPr>
                  <w:rFonts w:ascii="Arial" w:eastAsia="Times New Roman" w:hAnsi="Arial" w:cs="Arial"/>
                  <w:i/>
                  <w:iCs/>
                  <w:color w:val="A71E5E"/>
                  <w:sz w:val="24"/>
                  <w:szCs w:val="24"/>
                  <w:lang w:eastAsia="en-AU"/>
                </w:rPr>
                <w:t> </w:t>
              </w:r>
            </w:hyperlink>
            <w:r w:rsidRPr="004F1251">
              <w:rPr>
                <w:rFonts w:ascii="Arial" w:eastAsia="Times New Roman" w:hAnsi="Arial" w:cs="Arial"/>
                <w:color w:val="4D4D4D"/>
                <w:sz w:val="24"/>
                <w:szCs w:val="24"/>
                <w:lang w:eastAsia="en-AU"/>
              </w:rPr>
              <w:t>- One-off payment of $750 to social security, veteran and other income support recipients and eligible concession cardholders to support confidence and domestic demand in the economy</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r w:rsidRPr="004F1251">
              <w:rPr>
                <w:rFonts w:ascii="Arial" w:eastAsia="Times New Roman" w:hAnsi="Arial" w:cs="Arial"/>
                <w:color w:val="4D4D4D"/>
                <w:sz w:val="24"/>
                <w:szCs w:val="24"/>
                <w:lang w:eastAsia="en-AU"/>
              </w:rPr>
              <w:t>From 31 March 2020</w:t>
            </w:r>
          </w:p>
        </w:tc>
      </w:tr>
      <w:tr w:rsidR="004F1251" w:rsidRPr="004F1251" w:rsidTr="004F1251">
        <w:trPr>
          <w:trHeight w:val="805"/>
        </w:trPr>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before="100" w:beforeAutospacing="1" w:after="100" w:afterAutospacing="1" w:line="240" w:lineRule="auto"/>
              <w:outlineLvl w:val="4"/>
              <w:rPr>
                <w:rFonts w:ascii="Arial" w:eastAsia="Times New Roman" w:hAnsi="Arial" w:cs="Arial"/>
                <w:color w:val="502E84"/>
                <w:sz w:val="20"/>
                <w:szCs w:val="20"/>
                <w:lang w:eastAsia="en-AU"/>
              </w:rPr>
            </w:pPr>
            <w:r w:rsidRPr="004F1251">
              <w:rPr>
                <w:rFonts w:ascii="Arial" w:eastAsia="Times New Roman" w:hAnsi="Arial" w:cs="Arial"/>
                <w:color w:val="502E84"/>
                <w:sz w:val="20"/>
                <w:szCs w:val="20"/>
                <w:lang w:eastAsia="en-AU"/>
              </w:rPr>
              <w:t>Assistance for severely affected regions</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r w:rsidRPr="004F1251">
              <w:rPr>
                <w:rFonts w:ascii="Arial" w:eastAsia="Times New Roman" w:hAnsi="Arial" w:cs="Arial"/>
                <w:b/>
                <w:bCs/>
                <w:i/>
                <w:iCs/>
                <w:color w:val="4D4D4D"/>
                <w:sz w:val="24"/>
                <w:szCs w:val="24"/>
                <w:lang w:eastAsia="en-AU"/>
              </w:rPr>
              <w:t>Support for coronavirus-affected regions and communities</w:t>
            </w:r>
            <w:r w:rsidRPr="004F1251">
              <w:rPr>
                <w:rFonts w:ascii="Arial" w:eastAsia="Times New Roman" w:hAnsi="Arial" w:cs="Arial"/>
                <w:color w:val="4D4D4D"/>
                <w:sz w:val="24"/>
                <w:szCs w:val="24"/>
                <w:lang w:eastAsia="en-AU"/>
              </w:rPr>
              <w:t> - Financial support to help regions and communities most affected by the Coronavirus to recover</w:t>
            </w:r>
          </w:p>
        </w:tc>
        <w:tc>
          <w:tcPr>
            <w:tcW w:w="0" w:type="auto"/>
            <w:tcBorders>
              <w:bottom w:val="single" w:sz="6" w:space="0" w:color="666666"/>
            </w:tcBorders>
            <w:tcMar>
              <w:top w:w="120" w:type="dxa"/>
              <w:left w:w="120" w:type="dxa"/>
              <w:bottom w:w="120" w:type="dxa"/>
              <w:right w:w="120" w:type="dxa"/>
            </w:tcMar>
            <w:vAlign w:val="center"/>
            <w:hideMark/>
          </w:tcPr>
          <w:p w:rsidR="004F1251" w:rsidRPr="004F1251" w:rsidRDefault="004F1251" w:rsidP="004F1251">
            <w:pPr>
              <w:spacing w:after="0" w:line="240" w:lineRule="auto"/>
              <w:rPr>
                <w:rFonts w:ascii="Arial" w:eastAsia="Times New Roman" w:hAnsi="Arial" w:cs="Arial"/>
                <w:color w:val="4D4D4D"/>
                <w:sz w:val="24"/>
                <w:szCs w:val="24"/>
                <w:lang w:eastAsia="en-AU"/>
              </w:rPr>
            </w:pPr>
            <w:r w:rsidRPr="004F1251">
              <w:rPr>
                <w:rFonts w:ascii="Arial" w:eastAsia="Times New Roman" w:hAnsi="Arial" w:cs="Arial"/>
                <w:color w:val="4D4D4D"/>
                <w:sz w:val="24"/>
                <w:szCs w:val="24"/>
                <w:lang w:eastAsia="en-AU"/>
              </w:rPr>
              <w:t>As soon as practicable</w:t>
            </w:r>
          </w:p>
        </w:tc>
      </w:tr>
    </w:tbl>
    <w:p w:rsidR="004F1251" w:rsidRDefault="004F1251">
      <w:pPr>
        <w:rPr>
          <w:b/>
          <w:u w:val="single"/>
        </w:rPr>
      </w:pPr>
    </w:p>
    <w:p w:rsidR="004F41AB" w:rsidRDefault="004F41AB">
      <w:pPr>
        <w:rPr>
          <w:b/>
        </w:rPr>
      </w:pPr>
      <w:r>
        <w:rPr>
          <w:b/>
        </w:rPr>
        <w:t>PLUS:</w:t>
      </w:r>
    </w:p>
    <w:p w:rsidR="004F41AB" w:rsidRPr="004F41AB" w:rsidRDefault="004F41AB" w:rsidP="004F41AB">
      <w:pPr>
        <w:pStyle w:val="ListParagraph"/>
        <w:numPr>
          <w:ilvl w:val="0"/>
          <w:numId w:val="5"/>
        </w:numPr>
        <w:rPr>
          <w:b/>
        </w:rPr>
      </w:pPr>
      <w:r w:rsidRPr="004F41AB">
        <w:rPr>
          <w:rFonts w:ascii="Segoe UI" w:hAnsi="Segoe UI" w:cs="Segoe UI"/>
          <w:color w:val="313131"/>
          <w:shd w:val="clear" w:color="auto" w:fill="FFFFFF"/>
        </w:rPr>
        <w:t>delivering a </w:t>
      </w:r>
      <w:hyperlink r:id="rId13" w:history="1">
        <w:r w:rsidRPr="004F41AB">
          <w:rPr>
            <w:rFonts w:ascii="Segoe UI" w:hAnsi="Segoe UI" w:cs="Segoe UI"/>
            <w:color w:val="006FB0"/>
            <w:u w:val="single"/>
            <w:shd w:val="clear" w:color="auto" w:fill="FFFFFF"/>
          </w:rPr>
          <w:t>$2.4 billion health package</w:t>
        </w:r>
      </w:hyperlink>
      <w:r w:rsidRPr="004F41AB">
        <w:rPr>
          <w:rFonts w:ascii="Segoe UI" w:hAnsi="Segoe UI" w:cs="Segoe UI"/>
          <w:color w:val="313131"/>
          <w:shd w:val="clear" w:color="auto" w:fill="FFFFFF"/>
        </w:rPr>
        <w:t> to protect all Australians, especially those most vulnerable</w:t>
      </w:r>
    </w:p>
    <w:sectPr w:rsidR="004F41AB" w:rsidRPr="004F4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716D"/>
    <w:multiLevelType w:val="hybridMultilevel"/>
    <w:tmpl w:val="7E3AF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AE70F4"/>
    <w:multiLevelType w:val="multilevel"/>
    <w:tmpl w:val="1FEE5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D086A"/>
    <w:multiLevelType w:val="multilevel"/>
    <w:tmpl w:val="10C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87CE6"/>
    <w:multiLevelType w:val="multilevel"/>
    <w:tmpl w:val="BDD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41D0D"/>
    <w:multiLevelType w:val="multilevel"/>
    <w:tmpl w:val="821CF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56"/>
    <w:rsid w:val="000004F8"/>
    <w:rsid w:val="000031C4"/>
    <w:rsid w:val="000113AD"/>
    <w:rsid w:val="0001385B"/>
    <w:rsid w:val="00015584"/>
    <w:rsid w:val="00015CF0"/>
    <w:rsid w:val="0003111B"/>
    <w:rsid w:val="00031845"/>
    <w:rsid w:val="00033ACE"/>
    <w:rsid w:val="00037E23"/>
    <w:rsid w:val="000400DD"/>
    <w:rsid w:val="00041156"/>
    <w:rsid w:val="00066204"/>
    <w:rsid w:val="00073657"/>
    <w:rsid w:val="00074C81"/>
    <w:rsid w:val="000759AE"/>
    <w:rsid w:val="00077B18"/>
    <w:rsid w:val="00081630"/>
    <w:rsid w:val="000867A7"/>
    <w:rsid w:val="000A5FF2"/>
    <w:rsid w:val="000B0D77"/>
    <w:rsid w:val="000C7555"/>
    <w:rsid w:val="000D2C25"/>
    <w:rsid w:val="000D417E"/>
    <w:rsid w:val="000E47B6"/>
    <w:rsid w:val="000E7813"/>
    <w:rsid w:val="000F298A"/>
    <w:rsid w:val="00101DE0"/>
    <w:rsid w:val="00112AC0"/>
    <w:rsid w:val="00145907"/>
    <w:rsid w:val="00145D4D"/>
    <w:rsid w:val="00163F4B"/>
    <w:rsid w:val="00167E9A"/>
    <w:rsid w:val="0017026B"/>
    <w:rsid w:val="00192597"/>
    <w:rsid w:val="00195BDC"/>
    <w:rsid w:val="00197A5B"/>
    <w:rsid w:val="001A4ABB"/>
    <w:rsid w:val="001B406B"/>
    <w:rsid w:val="001D7F78"/>
    <w:rsid w:val="001E36D6"/>
    <w:rsid w:val="001F5476"/>
    <w:rsid w:val="001F5DA4"/>
    <w:rsid w:val="002029C1"/>
    <w:rsid w:val="00210D4D"/>
    <w:rsid w:val="002138E0"/>
    <w:rsid w:val="002323E2"/>
    <w:rsid w:val="0023746F"/>
    <w:rsid w:val="00250AC3"/>
    <w:rsid w:val="002616DE"/>
    <w:rsid w:val="0026349A"/>
    <w:rsid w:val="00264013"/>
    <w:rsid w:val="00266537"/>
    <w:rsid w:val="00272CC9"/>
    <w:rsid w:val="00276D34"/>
    <w:rsid w:val="0027718B"/>
    <w:rsid w:val="002826AA"/>
    <w:rsid w:val="0029370C"/>
    <w:rsid w:val="002A4BA3"/>
    <w:rsid w:val="002A511D"/>
    <w:rsid w:val="002C77AD"/>
    <w:rsid w:val="002D5826"/>
    <w:rsid w:val="002D76B7"/>
    <w:rsid w:val="002E312A"/>
    <w:rsid w:val="002E683D"/>
    <w:rsid w:val="0030305F"/>
    <w:rsid w:val="003047D8"/>
    <w:rsid w:val="00305DB3"/>
    <w:rsid w:val="00307399"/>
    <w:rsid w:val="0030741D"/>
    <w:rsid w:val="003148C1"/>
    <w:rsid w:val="0031739E"/>
    <w:rsid w:val="00317777"/>
    <w:rsid w:val="00321A85"/>
    <w:rsid w:val="00332AED"/>
    <w:rsid w:val="00333C43"/>
    <w:rsid w:val="00337987"/>
    <w:rsid w:val="003434ED"/>
    <w:rsid w:val="00347BFF"/>
    <w:rsid w:val="003559A0"/>
    <w:rsid w:val="00363058"/>
    <w:rsid w:val="00366874"/>
    <w:rsid w:val="00387C37"/>
    <w:rsid w:val="00392E8E"/>
    <w:rsid w:val="003A1C64"/>
    <w:rsid w:val="003B59F0"/>
    <w:rsid w:val="003B76DB"/>
    <w:rsid w:val="003D2777"/>
    <w:rsid w:val="003E2499"/>
    <w:rsid w:val="00400658"/>
    <w:rsid w:val="004033ED"/>
    <w:rsid w:val="00403832"/>
    <w:rsid w:val="00426D07"/>
    <w:rsid w:val="00436BD6"/>
    <w:rsid w:val="00453750"/>
    <w:rsid w:val="00473591"/>
    <w:rsid w:val="004751D0"/>
    <w:rsid w:val="00477950"/>
    <w:rsid w:val="00486478"/>
    <w:rsid w:val="00490AEF"/>
    <w:rsid w:val="00490BC2"/>
    <w:rsid w:val="0049140B"/>
    <w:rsid w:val="00493EA0"/>
    <w:rsid w:val="004A518F"/>
    <w:rsid w:val="004A54EB"/>
    <w:rsid w:val="004B2899"/>
    <w:rsid w:val="004C1986"/>
    <w:rsid w:val="004C5709"/>
    <w:rsid w:val="004C5D85"/>
    <w:rsid w:val="004D79E6"/>
    <w:rsid w:val="004E0A6E"/>
    <w:rsid w:val="004E0AAA"/>
    <w:rsid w:val="004F1251"/>
    <w:rsid w:val="004F41AB"/>
    <w:rsid w:val="00500202"/>
    <w:rsid w:val="0051206C"/>
    <w:rsid w:val="005153BE"/>
    <w:rsid w:val="00527AC7"/>
    <w:rsid w:val="00536AB5"/>
    <w:rsid w:val="00547321"/>
    <w:rsid w:val="00547AF0"/>
    <w:rsid w:val="0056581C"/>
    <w:rsid w:val="0057146A"/>
    <w:rsid w:val="00573F0F"/>
    <w:rsid w:val="0057561E"/>
    <w:rsid w:val="005821DA"/>
    <w:rsid w:val="005830A1"/>
    <w:rsid w:val="00585D8C"/>
    <w:rsid w:val="005931B2"/>
    <w:rsid w:val="005B1F68"/>
    <w:rsid w:val="005B3F8C"/>
    <w:rsid w:val="005C03B0"/>
    <w:rsid w:val="005E3928"/>
    <w:rsid w:val="005F2C21"/>
    <w:rsid w:val="005F50EF"/>
    <w:rsid w:val="005F6ACA"/>
    <w:rsid w:val="005F73E4"/>
    <w:rsid w:val="00600874"/>
    <w:rsid w:val="00621149"/>
    <w:rsid w:val="0062224D"/>
    <w:rsid w:val="00626892"/>
    <w:rsid w:val="00631046"/>
    <w:rsid w:val="006440CA"/>
    <w:rsid w:val="00655C95"/>
    <w:rsid w:val="0066303A"/>
    <w:rsid w:val="006841A9"/>
    <w:rsid w:val="00685918"/>
    <w:rsid w:val="0068612D"/>
    <w:rsid w:val="00691569"/>
    <w:rsid w:val="00697E9C"/>
    <w:rsid w:val="006A532A"/>
    <w:rsid w:val="006A54D4"/>
    <w:rsid w:val="006A7171"/>
    <w:rsid w:val="006B12A6"/>
    <w:rsid w:val="006B52DE"/>
    <w:rsid w:val="006D06C9"/>
    <w:rsid w:val="006D2E21"/>
    <w:rsid w:val="006D341C"/>
    <w:rsid w:val="006D5780"/>
    <w:rsid w:val="0070202D"/>
    <w:rsid w:val="00702CBE"/>
    <w:rsid w:val="007137FD"/>
    <w:rsid w:val="00732339"/>
    <w:rsid w:val="007363A7"/>
    <w:rsid w:val="00736AC5"/>
    <w:rsid w:val="00742E5E"/>
    <w:rsid w:val="00743FA3"/>
    <w:rsid w:val="00745463"/>
    <w:rsid w:val="00752C4D"/>
    <w:rsid w:val="0076231D"/>
    <w:rsid w:val="00764ABA"/>
    <w:rsid w:val="007731B3"/>
    <w:rsid w:val="00775C61"/>
    <w:rsid w:val="00776CFC"/>
    <w:rsid w:val="007811A0"/>
    <w:rsid w:val="00796CBD"/>
    <w:rsid w:val="007C6173"/>
    <w:rsid w:val="007E51BC"/>
    <w:rsid w:val="007F2AED"/>
    <w:rsid w:val="007F4C0F"/>
    <w:rsid w:val="0080563F"/>
    <w:rsid w:val="0080754E"/>
    <w:rsid w:val="00810E72"/>
    <w:rsid w:val="0082003D"/>
    <w:rsid w:val="00822BBB"/>
    <w:rsid w:val="00823A53"/>
    <w:rsid w:val="00825720"/>
    <w:rsid w:val="00840003"/>
    <w:rsid w:val="00847A3F"/>
    <w:rsid w:val="0085353D"/>
    <w:rsid w:val="00867FC2"/>
    <w:rsid w:val="00874938"/>
    <w:rsid w:val="00875D09"/>
    <w:rsid w:val="00876A23"/>
    <w:rsid w:val="00876ACE"/>
    <w:rsid w:val="00877BEC"/>
    <w:rsid w:val="008848D0"/>
    <w:rsid w:val="008850A5"/>
    <w:rsid w:val="008869DE"/>
    <w:rsid w:val="00890214"/>
    <w:rsid w:val="00890B0C"/>
    <w:rsid w:val="008945AD"/>
    <w:rsid w:val="008C237B"/>
    <w:rsid w:val="008D260C"/>
    <w:rsid w:val="008D67D8"/>
    <w:rsid w:val="008E403C"/>
    <w:rsid w:val="008E4C54"/>
    <w:rsid w:val="008E5791"/>
    <w:rsid w:val="008F0813"/>
    <w:rsid w:val="008F4031"/>
    <w:rsid w:val="008F5DFD"/>
    <w:rsid w:val="008F68EC"/>
    <w:rsid w:val="008F795E"/>
    <w:rsid w:val="0090067D"/>
    <w:rsid w:val="00915234"/>
    <w:rsid w:val="009200B4"/>
    <w:rsid w:val="009243B6"/>
    <w:rsid w:val="00926CDF"/>
    <w:rsid w:val="009322E5"/>
    <w:rsid w:val="00942469"/>
    <w:rsid w:val="009467A9"/>
    <w:rsid w:val="009553BA"/>
    <w:rsid w:val="00965A27"/>
    <w:rsid w:val="00966A4D"/>
    <w:rsid w:val="00967474"/>
    <w:rsid w:val="00967FF2"/>
    <w:rsid w:val="00977581"/>
    <w:rsid w:val="009931F0"/>
    <w:rsid w:val="009A1F3C"/>
    <w:rsid w:val="009A2D7C"/>
    <w:rsid w:val="009A41ED"/>
    <w:rsid w:val="009B148A"/>
    <w:rsid w:val="009B20B4"/>
    <w:rsid w:val="009B319A"/>
    <w:rsid w:val="009B426A"/>
    <w:rsid w:val="009C2B22"/>
    <w:rsid w:val="009C44F9"/>
    <w:rsid w:val="009D539B"/>
    <w:rsid w:val="009D5F55"/>
    <w:rsid w:val="009D6F79"/>
    <w:rsid w:val="009E1E1B"/>
    <w:rsid w:val="00A2751A"/>
    <w:rsid w:val="00A27E9F"/>
    <w:rsid w:val="00A30CAF"/>
    <w:rsid w:val="00A43913"/>
    <w:rsid w:val="00A43DA4"/>
    <w:rsid w:val="00A45B77"/>
    <w:rsid w:val="00A6556D"/>
    <w:rsid w:val="00A657FC"/>
    <w:rsid w:val="00A67C9B"/>
    <w:rsid w:val="00A70DCD"/>
    <w:rsid w:val="00A711DE"/>
    <w:rsid w:val="00A725CA"/>
    <w:rsid w:val="00A76FE7"/>
    <w:rsid w:val="00A81632"/>
    <w:rsid w:val="00AB148C"/>
    <w:rsid w:val="00AC37CD"/>
    <w:rsid w:val="00AD0B16"/>
    <w:rsid w:val="00AD3E8A"/>
    <w:rsid w:val="00AD57C0"/>
    <w:rsid w:val="00AE25C6"/>
    <w:rsid w:val="00AE60C3"/>
    <w:rsid w:val="00AF0841"/>
    <w:rsid w:val="00B352BE"/>
    <w:rsid w:val="00B35967"/>
    <w:rsid w:val="00B37086"/>
    <w:rsid w:val="00B42C0A"/>
    <w:rsid w:val="00B464C8"/>
    <w:rsid w:val="00B468A9"/>
    <w:rsid w:val="00B47D21"/>
    <w:rsid w:val="00B52933"/>
    <w:rsid w:val="00B541FA"/>
    <w:rsid w:val="00B5639F"/>
    <w:rsid w:val="00B60D4B"/>
    <w:rsid w:val="00B6109B"/>
    <w:rsid w:val="00B6510E"/>
    <w:rsid w:val="00B70A18"/>
    <w:rsid w:val="00B7595A"/>
    <w:rsid w:val="00B920E6"/>
    <w:rsid w:val="00B939BA"/>
    <w:rsid w:val="00B95A6A"/>
    <w:rsid w:val="00BA039F"/>
    <w:rsid w:val="00BA6DA8"/>
    <w:rsid w:val="00BC1019"/>
    <w:rsid w:val="00BC154E"/>
    <w:rsid w:val="00BC2977"/>
    <w:rsid w:val="00BC3DF4"/>
    <w:rsid w:val="00BD2B55"/>
    <w:rsid w:val="00BE1124"/>
    <w:rsid w:val="00BF0741"/>
    <w:rsid w:val="00BF1214"/>
    <w:rsid w:val="00BF1C17"/>
    <w:rsid w:val="00C06E0B"/>
    <w:rsid w:val="00C126D7"/>
    <w:rsid w:val="00C14170"/>
    <w:rsid w:val="00C246CC"/>
    <w:rsid w:val="00C440B4"/>
    <w:rsid w:val="00C72908"/>
    <w:rsid w:val="00C73280"/>
    <w:rsid w:val="00C825D3"/>
    <w:rsid w:val="00C93846"/>
    <w:rsid w:val="00C96A9B"/>
    <w:rsid w:val="00CA5499"/>
    <w:rsid w:val="00CC32B1"/>
    <w:rsid w:val="00CD5CB4"/>
    <w:rsid w:val="00CE5CC2"/>
    <w:rsid w:val="00CE69AC"/>
    <w:rsid w:val="00D245F3"/>
    <w:rsid w:val="00D36E48"/>
    <w:rsid w:val="00D4418B"/>
    <w:rsid w:val="00D466DF"/>
    <w:rsid w:val="00D53169"/>
    <w:rsid w:val="00D55F4B"/>
    <w:rsid w:val="00D56C7F"/>
    <w:rsid w:val="00D60C76"/>
    <w:rsid w:val="00D67A08"/>
    <w:rsid w:val="00D7054F"/>
    <w:rsid w:val="00D81676"/>
    <w:rsid w:val="00D8644D"/>
    <w:rsid w:val="00DA319C"/>
    <w:rsid w:val="00DB3530"/>
    <w:rsid w:val="00DC292A"/>
    <w:rsid w:val="00DD18CA"/>
    <w:rsid w:val="00DE1269"/>
    <w:rsid w:val="00DF2E3C"/>
    <w:rsid w:val="00E2655D"/>
    <w:rsid w:val="00E32E33"/>
    <w:rsid w:val="00E3359F"/>
    <w:rsid w:val="00E403F1"/>
    <w:rsid w:val="00E425A7"/>
    <w:rsid w:val="00E44688"/>
    <w:rsid w:val="00E456B2"/>
    <w:rsid w:val="00E45747"/>
    <w:rsid w:val="00E57D4A"/>
    <w:rsid w:val="00E62570"/>
    <w:rsid w:val="00E62CD6"/>
    <w:rsid w:val="00E643CB"/>
    <w:rsid w:val="00E65F39"/>
    <w:rsid w:val="00E76E5E"/>
    <w:rsid w:val="00E8286F"/>
    <w:rsid w:val="00E842C3"/>
    <w:rsid w:val="00E852AD"/>
    <w:rsid w:val="00EA3B08"/>
    <w:rsid w:val="00EC6C85"/>
    <w:rsid w:val="00EC7B83"/>
    <w:rsid w:val="00EE5E23"/>
    <w:rsid w:val="00EF34DB"/>
    <w:rsid w:val="00F12502"/>
    <w:rsid w:val="00F126DD"/>
    <w:rsid w:val="00F12902"/>
    <w:rsid w:val="00F27C11"/>
    <w:rsid w:val="00F307F6"/>
    <w:rsid w:val="00F3603C"/>
    <w:rsid w:val="00F40188"/>
    <w:rsid w:val="00F539C2"/>
    <w:rsid w:val="00F55A7A"/>
    <w:rsid w:val="00F55C83"/>
    <w:rsid w:val="00F56B5E"/>
    <w:rsid w:val="00F61393"/>
    <w:rsid w:val="00F65DEA"/>
    <w:rsid w:val="00F86A20"/>
    <w:rsid w:val="00F86BD1"/>
    <w:rsid w:val="00F875E8"/>
    <w:rsid w:val="00F92166"/>
    <w:rsid w:val="00F956BD"/>
    <w:rsid w:val="00FA0257"/>
    <w:rsid w:val="00FA12ED"/>
    <w:rsid w:val="00FA20BE"/>
    <w:rsid w:val="00FA63BE"/>
    <w:rsid w:val="00FB3237"/>
    <w:rsid w:val="00FC51C8"/>
    <w:rsid w:val="00FC605C"/>
    <w:rsid w:val="00FC7C2D"/>
    <w:rsid w:val="00FE351A"/>
    <w:rsid w:val="00FE4E62"/>
    <w:rsid w:val="00FE53BE"/>
    <w:rsid w:val="00FF239E"/>
    <w:rsid w:val="00FF5942"/>
    <w:rsid w:val="00FF6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DB9BC-8EE4-4203-BFDB-5204E3FC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251"/>
    <w:rPr>
      <w:color w:val="0563C1" w:themeColor="hyperlink"/>
      <w:u w:val="single"/>
    </w:rPr>
  </w:style>
  <w:style w:type="paragraph" w:styleId="ListParagraph">
    <w:name w:val="List Paragraph"/>
    <w:basedOn w:val="Normal"/>
    <w:uiPriority w:val="34"/>
    <w:qFormat/>
    <w:rsid w:val="004F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2906">
      <w:bodyDiv w:val="1"/>
      <w:marLeft w:val="0"/>
      <w:marRight w:val="0"/>
      <w:marTop w:val="0"/>
      <w:marBottom w:val="0"/>
      <w:divBdr>
        <w:top w:val="none" w:sz="0" w:space="0" w:color="auto"/>
        <w:left w:val="none" w:sz="0" w:space="0" w:color="auto"/>
        <w:bottom w:val="none" w:sz="0" w:space="0" w:color="auto"/>
        <w:right w:val="none" w:sz="0" w:space="0" w:color="auto"/>
      </w:divBdr>
    </w:div>
    <w:div w:id="1018776884">
      <w:bodyDiv w:val="1"/>
      <w:marLeft w:val="0"/>
      <w:marRight w:val="0"/>
      <w:marTop w:val="0"/>
      <w:marBottom w:val="0"/>
      <w:divBdr>
        <w:top w:val="none" w:sz="0" w:space="0" w:color="auto"/>
        <w:left w:val="none" w:sz="0" w:space="0" w:color="auto"/>
        <w:bottom w:val="none" w:sz="0" w:space="0" w:color="auto"/>
        <w:right w:val="none" w:sz="0" w:space="0" w:color="auto"/>
      </w:divBdr>
    </w:div>
    <w:div w:id="12665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au/risk-management/emergency-management/coronavirus-information-and-support-for-business" TargetMode="External"/><Relationship Id="rId13" Type="http://schemas.openxmlformats.org/officeDocument/2006/relationships/hyperlink" Target="https://www.health.gov.au/resources/collections/coronavirus-covid-19-national-health-plan-resources" TargetMode="External"/><Relationship Id="rId3" Type="http://schemas.openxmlformats.org/officeDocument/2006/relationships/settings" Target="settings.xml"/><Relationship Id="rId7" Type="http://schemas.openxmlformats.org/officeDocument/2006/relationships/hyperlink" Target="http://www.qld.gov.au/industryrecovery" TargetMode="External"/><Relationship Id="rId12" Type="http://schemas.openxmlformats.org/officeDocument/2006/relationships/hyperlink" Target="https://treasury.gov.au/coronavirus/house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rida.qld.gov.au/current-programs/covid-19-business-support/queensland-covid19-jobs-support-scheme" TargetMode="External"/><Relationship Id="rId11" Type="http://schemas.openxmlformats.org/officeDocument/2006/relationships/hyperlink" Target="https://www.business.gov.au/risk-management/emergency-management/coronavirus-information-and-support-for-business/supporting-apprentices-and-trainees" TargetMode="External"/><Relationship Id="rId5" Type="http://schemas.openxmlformats.org/officeDocument/2006/relationships/hyperlink" Target="http://www.osr.qld.gov.au/" TargetMode="External"/><Relationship Id="rId15" Type="http://schemas.openxmlformats.org/officeDocument/2006/relationships/theme" Target="theme/theme1.xml"/><Relationship Id="rId10" Type="http://schemas.openxmlformats.org/officeDocument/2006/relationships/hyperlink" Target="https://www.business.gov.au/risk-management/emergency-management/coronavirus-information-and-support-for-business/boosting-cash-flow-for-employers" TargetMode="External"/><Relationship Id="rId4" Type="http://schemas.openxmlformats.org/officeDocument/2006/relationships/webSettings" Target="webSettings.xml"/><Relationship Id="rId9" Type="http://schemas.openxmlformats.org/officeDocument/2006/relationships/hyperlink" Target="https://www.business.gov.au/risk-management/emergency-management/coronavirus-information-and-support-for-business/backing-business-investment-b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Steele</dc:creator>
  <cp:keywords/>
  <dc:description/>
  <cp:lastModifiedBy>Damian Steele</cp:lastModifiedBy>
  <cp:revision>3</cp:revision>
  <dcterms:created xsi:type="dcterms:W3CDTF">2020-03-17T22:55:00Z</dcterms:created>
  <dcterms:modified xsi:type="dcterms:W3CDTF">2020-03-17T23:42:00Z</dcterms:modified>
</cp:coreProperties>
</file>